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AA" w:rsidRPr="009112A5" w:rsidRDefault="00F06AE6" w:rsidP="00706742">
      <w:pPr>
        <w:spacing w:after="0" w:line="360" w:lineRule="auto"/>
        <w:rPr>
          <w:rFonts w:cs="Narkisim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-457200</wp:posOffset>
                </wp:positionV>
                <wp:extent cx="1407795" cy="432435"/>
                <wp:effectExtent l="5715" t="9525" r="5715" b="5715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0779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2D1" w:rsidRPr="00F53972" w:rsidRDefault="004502D1" w:rsidP="001F068A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F53972">
                              <w:rPr>
                                <w:rFonts w:hint="cs"/>
                                <w:color w:val="808080" w:themeColor="background1" w:themeShade="80"/>
                                <w:rtl/>
                              </w:rPr>
                              <w:t xml:space="preserve">גופן: </w:t>
                            </w:r>
                            <w:r w:rsidRPr="00F53972">
                              <w:rPr>
                                <w:color w:val="808080" w:themeColor="background1" w:themeShade="80"/>
                              </w:rPr>
                              <w:t>David, 12</w:t>
                            </w:r>
                          </w:p>
                          <w:p w:rsidR="004502D1" w:rsidRDefault="004502D1" w:rsidP="001F068A">
                            <w:pPr>
                              <w:spacing w:after="0" w:line="240" w:lineRule="auto"/>
                              <w:rPr>
                                <w:rtl/>
                                <w:cs/>
                              </w:rPr>
                            </w:pPr>
                            <w:r w:rsidRPr="00F53972">
                              <w:rPr>
                                <w:rFonts w:hint="cs"/>
                                <w:color w:val="808080" w:themeColor="background1" w:themeShade="80"/>
                                <w:rtl/>
                              </w:rPr>
                              <w:t xml:space="preserve">מרווח בין השורות: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7.15pt;margin-top:-36pt;width:110.85pt;height:34.05pt;flip:x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">
                <v:textbox style="mso-fit-shape-to-text:t">
                  <w:txbxContent>
                    <w:p w:rsidR="004502D1" w:rsidRPr="00F53972" w:rsidRDefault="004502D1" w:rsidP="001F068A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 w:rsidRPr="00F53972">
                        <w:rPr>
                          <w:rFonts w:hint="cs"/>
                          <w:color w:val="808080" w:themeColor="background1" w:themeShade="80"/>
                          <w:rtl/>
                        </w:rPr>
                        <w:t xml:space="preserve">גופן: </w:t>
                      </w:r>
                      <w:r w:rsidRPr="00F53972">
                        <w:rPr>
                          <w:color w:val="808080" w:themeColor="background1" w:themeShade="80"/>
                        </w:rPr>
                        <w:t>David, 12</w:t>
                      </w:r>
                    </w:p>
                    <w:p w:rsidR="004502D1" w:rsidRDefault="004502D1" w:rsidP="001F068A">
                      <w:pPr>
                        <w:spacing w:after="0" w:line="240" w:lineRule="auto"/>
                        <w:rPr>
                          <w:rtl/>
                          <w:cs/>
                        </w:rPr>
                      </w:pPr>
                      <w:r w:rsidRPr="00F53972">
                        <w:rPr>
                          <w:rFonts w:hint="cs"/>
                          <w:color w:val="808080" w:themeColor="background1" w:themeShade="80"/>
                          <w:rtl/>
                        </w:rPr>
                        <w:t xml:space="preserve">מרווח בין השורות: </w:t>
                      </w:r>
                      <w:r>
                        <w:rPr>
                          <w:rFonts w:hint="cs"/>
                          <w:rtl/>
                        </w:rPr>
                        <w:t>1.5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-457200</wp:posOffset>
            </wp:positionV>
            <wp:extent cx="704850" cy="838200"/>
            <wp:effectExtent l="0" t="0" r="0" b="0"/>
            <wp:wrapSquare wrapText="bothSides"/>
            <wp:docPr id="3" name="תמונה 3" descr="לוגו חדש המכללה האקדמ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לוגו חדש המכללה האקדמי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972" w:rsidRDefault="00F53972" w:rsidP="00706742">
      <w:pPr>
        <w:spacing w:after="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4502D1" w:rsidRDefault="002F4F90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F71B3E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רשימת הפרסומים</w:t>
      </w:r>
      <w:r w:rsidR="004502D1">
        <w:rPr>
          <w:rFonts w:ascii="Arial" w:eastAsia="Times New Roman" w:hAnsi="Arial" w:cs="David" w:hint="cs"/>
          <w:noProof/>
          <w:sz w:val="24"/>
          <w:szCs w:val="24"/>
          <w:rtl/>
        </w:rPr>
        <w:t> </w:t>
      </w:r>
    </w:p>
    <w:p w:rsidR="002F4F90" w:rsidRDefault="002F4F90" w:rsidP="00706742">
      <w:pPr>
        <w:spacing w:after="0" w:line="360" w:lineRule="auto"/>
        <w:jc w:val="both"/>
        <w:rPr>
          <w:rFonts w:ascii="Arial" w:eastAsia="Times New Roman" w:hAnsi="Arial" w:cs="David"/>
          <w:b/>
          <w:bCs/>
          <w:noProof/>
          <w:sz w:val="24"/>
          <w:szCs w:val="24"/>
          <w:rtl/>
        </w:rPr>
      </w:pPr>
      <w:r w:rsidRPr="004502D1">
        <w:rPr>
          <w:rFonts w:ascii="Arial" w:eastAsia="Times New Roman" w:hAnsi="Arial" w:cs="David" w:hint="cs"/>
          <w:b/>
          <w:bCs/>
          <w:noProof/>
          <w:sz w:val="24"/>
          <w:szCs w:val="24"/>
          <w:u w:val="single"/>
          <w:rtl/>
        </w:rPr>
        <w:t>ספרים ומאמרים</w:t>
      </w:r>
      <w:r w:rsidRPr="004502D1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:</w:t>
      </w:r>
    </w:p>
    <w:p w:rsidR="00473752" w:rsidRDefault="00473752" w:rsidP="0047375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473752" w:rsidRPr="00845E9E" w:rsidRDefault="00473752" w:rsidP="0047375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845E9E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ספרים</w:t>
      </w:r>
      <w:r w:rsidRPr="00845E9E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: </w:t>
      </w:r>
    </w:p>
    <w:p w:rsidR="00473752" w:rsidRPr="00845E9E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'השוה הכתוב אישה לאיש': על מעמדן של נשים בבית הדין הרבני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ירושלים: המכון הישראלי לדמוקרטיה, תשע"ג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. 164 עמ'.</w:t>
      </w:r>
    </w:p>
    <w:p w:rsidR="00473752" w:rsidRPr="00845E9E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התורה והטבע בכתבי הרמב"ם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ירושלים: מאגנס, תשע"א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. 410 עמ'.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 xml:space="preserve"> </w:t>
      </w:r>
    </w:p>
    <w:p w:rsidR="00473752" w:rsidRPr="00845E9E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אהבת הרֵע בשיטתו של הרמן כהן: עיון בספר דת התבונה ממקורות היהדות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אלון שבות: הוצאת 'תבונות', תשע"א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. 125 עמ'.</w:t>
      </w:r>
    </w:p>
    <w:p w:rsidR="00473752" w:rsidRDefault="00473752" w:rsidP="00473752">
      <w:pPr>
        <w:pStyle w:val="a8"/>
        <w:numPr>
          <w:ilvl w:val="0"/>
          <w:numId w:val="6"/>
        </w:numPr>
        <w:spacing w:after="0" w:line="360" w:lineRule="auto"/>
        <w:rPr>
          <w:rFonts w:cs="David"/>
          <w:sz w:val="24"/>
          <w:szCs w:val="24"/>
        </w:rPr>
      </w:pP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מיעוטים במדינה יהודית: היבטים הלכתיים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, ירושלים: המכון הישראלי לדמוקרטיה, תש"ע</w:t>
      </w:r>
      <w:r>
        <w:rPr>
          <w:rFonts w:cs="David" w:hint="cs"/>
          <w:sz w:val="24"/>
          <w:szCs w:val="24"/>
          <w:rtl/>
        </w:rPr>
        <w:t xml:space="preserve">. 95 </w:t>
      </w:r>
      <w:proofErr w:type="spellStart"/>
      <w:r>
        <w:rPr>
          <w:rFonts w:cs="David" w:hint="cs"/>
          <w:sz w:val="24"/>
          <w:szCs w:val="24"/>
          <w:rtl/>
        </w:rPr>
        <w:t>עמ</w:t>
      </w:r>
      <w:proofErr w:type="spellEnd"/>
      <w:r>
        <w:rPr>
          <w:rFonts w:cs="David" w:hint="cs"/>
          <w:sz w:val="24"/>
          <w:szCs w:val="24"/>
          <w:rtl/>
        </w:rPr>
        <w:t>'.</w:t>
      </w:r>
    </w:p>
    <w:p w:rsidR="00473752" w:rsidRPr="00845E9E" w:rsidRDefault="00473752" w:rsidP="00473752">
      <w:pPr>
        <w:spacing w:after="0" w:line="360" w:lineRule="auto"/>
        <w:rPr>
          <w:rFonts w:cs="David"/>
          <w:sz w:val="24"/>
          <w:szCs w:val="24"/>
          <w:u w:val="single"/>
          <w:rtl/>
        </w:rPr>
      </w:pPr>
      <w:r w:rsidRPr="00845E9E">
        <w:rPr>
          <w:rFonts w:cs="David" w:hint="cs"/>
          <w:sz w:val="24"/>
          <w:szCs w:val="24"/>
          <w:u w:val="single"/>
          <w:rtl/>
        </w:rPr>
        <w:t>ספרים שהתקבלו לפרסום:</w:t>
      </w:r>
    </w:p>
    <w:p w:rsidR="00473752" w:rsidRPr="00845E9E" w:rsidRDefault="00473752" w:rsidP="007A0424">
      <w:pPr>
        <w:pStyle w:val="a8"/>
        <w:numPr>
          <w:ilvl w:val="0"/>
          <w:numId w:val="7"/>
        </w:numPr>
        <w:spacing w:after="0" w:line="360" w:lineRule="auto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 xml:space="preserve">**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כבוד האדם וצלם אלוהים: שוויון ושוני</w:t>
      </w:r>
      <w:r w:rsidRPr="00845E9E">
        <w:rPr>
          <w:rFonts w:ascii="Arial" w:eastAsia="Times New Roman" w:hAnsi="Arial" w:cs="David"/>
          <w:noProof/>
          <w:sz w:val="24"/>
          <w:szCs w:val="24"/>
          <w:rtl/>
        </w:rPr>
        <w:t>. התקבל להוצאה במכון הישראלי לדמוקרטיה, מצוי כעת בעריכה לשונית.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כ-</w:t>
      </w:r>
      <w:r w:rsidR="007A0424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350 </w:t>
      </w:r>
      <w:r>
        <w:rPr>
          <w:rFonts w:ascii="Arial" w:eastAsia="Times New Roman" w:hAnsi="Arial" w:cs="David" w:hint="cs"/>
          <w:noProof/>
          <w:sz w:val="24"/>
          <w:szCs w:val="24"/>
          <w:rtl/>
        </w:rPr>
        <w:t>עמ'.</w:t>
      </w:r>
    </w:p>
    <w:p w:rsidR="00473752" w:rsidRP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b/>
          <w:bCs/>
          <w:noProof/>
          <w:sz w:val="24"/>
          <w:szCs w:val="24"/>
          <w:rtl/>
        </w:rPr>
      </w:pPr>
    </w:p>
    <w:p w:rsidR="002F4F90" w:rsidRPr="00112590" w:rsidRDefault="002F4F90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112590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</w:t>
      </w:r>
      <w:r w:rsidR="00112590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 xml:space="preserve"> שפורסמו</w:t>
      </w:r>
      <w:r w:rsidR="00166EC9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 xml:space="preserve"> בבמות שפיטות</w:t>
      </w:r>
      <w:r w:rsidR="00BD7BC6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:</w:t>
      </w:r>
    </w:p>
    <w:p w:rsidR="00845E9E" w:rsidRPr="003732F3" w:rsidRDefault="008F57A4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>**</w:t>
      </w:r>
      <w:r w:rsidR="00845E9E" w:rsidRPr="00C531BD">
        <w:rPr>
          <w:rFonts w:asciiTheme="majorBidi" w:eastAsia="Times New Roman" w:hAnsiTheme="majorBidi" w:cstheme="majorBidi"/>
          <w:noProof/>
          <w:sz w:val="24"/>
          <w:szCs w:val="24"/>
        </w:rPr>
        <w:t xml:space="preserve">' "Unintentionally” (Numbers 35:11) and “unwittingly” (Deuteronomy 19:4): Two </w:t>
      </w:r>
      <w:r w:rsidR="00845E9E" w:rsidRPr="00FB45EC">
        <w:rPr>
          <w:rFonts w:asciiTheme="majorBidi" w:eastAsia="Times New Roman" w:hAnsiTheme="majorBidi" w:cstheme="majorBidi"/>
          <w:noProof/>
          <w:sz w:val="24"/>
          <w:szCs w:val="24"/>
        </w:rPr>
        <w:t xml:space="preserve">aspects of the cities of refuge`, </w:t>
      </w:r>
      <w:r w:rsidR="00FB45EC" w:rsidRPr="00FB45EC">
        <w:rPr>
          <w:rFonts w:asciiTheme="majorBidi" w:hAnsiTheme="majorBidi" w:cstheme="majorBidi"/>
          <w:i/>
          <w:iCs/>
          <w:sz w:val="24"/>
          <w:szCs w:val="24"/>
        </w:rPr>
        <w:t>Association for Jewish Studies Review</w:t>
      </w:r>
      <w:r w:rsidR="00845E9E" w:rsidRPr="00FB45EC">
        <w:rPr>
          <w:rFonts w:asciiTheme="majorBidi" w:eastAsia="Times New Roman" w:hAnsiTheme="majorBidi" w:cstheme="majorBidi"/>
          <w:noProof/>
          <w:sz w:val="24"/>
          <w:szCs w:val="24"/>
        </w:rPr>
        <w:t xml:space="preserve"> 41:1 (April 2017),</w:t>
      </w:r>
      <w:r w:rsidR="00845E9E" w:rsidRPr="00C531BD">
        <w:rPr>
          <w:rFonts w:asciiTheme="majorBidi" w:eastAsia="Times New Roman" w:hAnsiTheme="majorBidi" w:cstheme="majorBidi"/>
          <w:noProof/>
          <w:sz w:val="24"/>
          <w:szCs w:val="24"/>
        </w:rPr>
        <w:t xml:space="preserve"> p. 155-173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.</w:t>
      </w:r>
    </w:p>
    <w:p w:rsidR="00845E9E" w:rsidRPr="003732F3" w:rsidRDefault="008F57A4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'הפסיקה הציונית ביחס למעמד הנוכרים במדינת ישראל', ידידה צ' שטרן ויאיר שלג (עורכים), </w:t>
      </w:r>
      <w:r w:rsidR="00845E9E" w:rsidRPr="00C531BD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הלכה ציונית</w:t>
      </w:r>
      <w:r w:rsidR="00FB45EC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: המשמעויות ההלכתיות של הריבונות היהודית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, ירושלים: המכון הישראלי לדמוקרטיה, תשע"ז, עמ' 344-312.</w:t>
      </w:r>
    </w:p>
    <w:p w:rsidR="00845E9E" w:rsidRPr="003732F3" w:rsidRDefault="00A72F27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'המעשה כמעצב תודעה: הערות ויטגנשטייניות על שיטת הרמב"ם', אבינועם רוזנק (עורך), </w:t>
      </w:r>
      <w:r w:rsidR="00845E9E" w:rsidRPr="00C531BD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ההלכה כהתרחשות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, ירושלים: ון-ליר, תשע"ו, עמ' 294-256.</w:t>
      </w:r>
    </w:p>
    <w:p w:rsidR="00845E9E" w:rsidRPr="003732F3" w:rsidRDefault="00A72F27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'נזירות במשנת הרמב"ם', שמואל ויגודה (עורך), </w:t>
      </w:r>
      <w:r w:rsidR="00845E9E" w:rsidRPr="00C531BD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אדם לאדם: מחקרים בפילוסופיה יהודית בימי הביניים ובעת החדשה מוגשים לפרופ' זאב הרוי על ידי תלמידיו במלאות לו שבעים</w:t>
      </w:r>
      <w:r w:rsidR="00845E9E" w:rsidRPr="003732F3">
        <w:rPr>
          <w:rFonts w:ascii="Arial" w:eastAsia="Times New Roman" w:hAnsi="Arial" w:cs="David"/>
          <w:noProof/>
          <w:sz w:val="24"/>
          <w:szCs w:val="24"/>
          <w:rtl/>
        </w:rPr>
        <w:t>, ירושלים: מאגנס, תשע"ו, עמ' 109-83.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'בקורתו של הרמן כהן על האתיקה האוניברסאלית ופתרונה בדת התבונה',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יהדות ואנושות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גליון 5</w:t>
      </w:r>
      <w:r w:rsidR="003732F3" w:rsidRPr="003732F3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</w:t>
      </w:r>
      <w:r w:rsidR="00FB45EC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2014 </w:t>
      </w:r>
      <w:r w:rsidR="003732F3" w:rsidRPr="003732F3">
        <w:rPr>
          <w:rFonts w:ascii="Arial" w:eastAsia="Times New Roman" w:hAnsi="Arial" w:cs="David" w:hint="cs"/>
          <w:noProof/>
          <w:sz w:val="24"/>
          <w:szCs w:val="24"/>
          <w:rtl/>
        </w:rPr>
        <w:t>כתב עט אינטרנטי).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'לא תרצח בכתבי הרמב"ם: בין אתיקה לפוליטיקה',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מחקרי ירושלים במחשבת ישראל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כד (תשע"ה), עמ' 119-87.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סקירה על הספר "מנחות ידידות והוקרה לאלעזר טויטו",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מים מדליו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20-19 (תשס"ח-תשס"ט), עמ' 432-427.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"המעפילים",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מז, תשרי תשס"ח, עמ' 89-81.</w:t>
      </w:r>
    </w:p>
    <w:p w:rsidR="00845E9E" w:rsidRPr="00145F81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145F81">
        <w:rPr>
          <w:rFonts w:asciiTheme="majorBidi" w:eastAsia="Times New Roman" w:hAnsiTheme="majorBidi" w:cstheme="majorBidi"/>
          <w:noProof/>
          <w:sz w:val="24"/>
          <w:szCs w:val="24"/>
        </w:rPr>
        <w:lastRenderedPageBreak/>
        <w:t xml:space="preserve">Benny Gesundheit and Eli Hadad, “Maimonides (1138-1204): Rabbi, Physician and Philosopher”, </w:t>
      </w:r>
      <w:r w:rsidRPr="00FB45EC">
        <w:rPr>
          <w:rFonts w:asciiTheme="majorBidi" w:eastAsia="Times New Roman" w:hAnsiTheme="majorBidi" w:cstheme="majorBidi"/>
          <w:i/>
          <w:iCs/>
          <w:noProof/>
          <w:sz w:val="24"/>
          <w:szCs w:val="24"/>
        </w:rPr>
        <w:t>The Israel Medical Association Journal</w:t>
      </w:r>
      <w:r w:rsidRPr="00145F81">
        <w:rPr>
          <w:rFonts w:asciiTheme="majorBidi" w:eastAsia="Times New Roman" w:hAnsiTheme="majorBidi" w:cstheme="majorBidi"/>
          <w:noProof/>
          <w:sz w:val="24"/>
          <w:szCs w:val="24"/>
        </w:rPr>
        <w:t>, Vol 7, September 2005, p. 547-552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"והיה העקב למישור",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לח, סיון תשס"ג, עמ' 16-9.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"דו-פרצופין של עזר כנגדו - עיון ביחסי האיש והאשה בשיטת הראב"ד", נחם אילן (עורך),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עין טובה - ספר היובל לטובה אילן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ישראל: הקיבוץ המאוחד, תשנ"ט, עמ' 496-476.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"משפט שלמה",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כז, טבת תשנ"ז, עמ' 111-101.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"חטא העגל",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כא, טבת תשנ"ד עמ', 36-29.</w:t>
      </w:r>
    </w:p>
    <w:p w:rsidR="00845E9E" w:rsidRPr="003732F3" w:rsidRDefault="00845E9E" w:rsidP="00706742">
      <w:pPr>
        <w:pStyle w:val="a8"/>
        <w:numPr>
          <w:ilvl w:val="0"/>
          <w:numId w:val="9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"התורה והשירה - עיון בפרשת וילך", </w:t>
      </w:r>
      <w:r w:rsidRPr="00FB45EC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, ז, שבט תשמ"ט, עמ' 26-21.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3732F3" w:rsidRDefault="003732F3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שהתקבלו לפרסום</w:t>
      </w:r>
    </w:p>
    <w:p w:rsidR="00473752" w:rsidRDefault="00473752" w:rsidP="00473752">
      <w:pPr>
        <w:pStyle w:val="a8"/>
        <w:numPr>
          <w:ilvl w:val="0"/>
          <w:numId w:val="9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</w:rPr>
      </w:pPr>
      <w:r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'הגר המקראי כמושג 'ראשית' ב'דת התבונה', התקבל לפרסום בקובץ על </w:t>
      </w:r>
      <w:r w:rsidRPr="00473752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היחס לאחר</w:t>
      </w:r>
      <w:r w:rsidRPr="00473752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 xml:space="preserve"> במקורות היהודיים</w:t>
      </w:r>
      <w:r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 במכון הישראלי לדמוקרטיה.</w:t>
      </w:r>
    </w:p>
    <w:p w:rsidR="00473752" w:rsidRDefault="008F57A4" w:rsidP="00473752">
      <w:pPr>
        <w:pStyle w:val="a8"/>
        <w:numPr>
          <w:ilvl w:val="0"/>
          <w:numId w:val="9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</w:rPr>
      </w:pP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3732F3"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'גנבה וגזלה ברמב"ם:  בין הלכה לפילוסופיה' – </w:t>
      </w:r>
      <w:r w:rsidR="003732F3" w:rsidRPr="00473752">
        <w:rPr>
          <w:rFonts w:ascii="Arial" w:eastAsia="Times New Roman" w:hAnsi="Arial" w:cs="David" w:hint="cs"/>
          <w:noProof/>
          <w:sz w:val="24"/>
          <w:szCs w:val="24"/>
          <w:rtl/>
        </w:rPr>
        <w:t>התקבל לפרסום ב-</w:t>
      </w:r>
      <w:r w:rsidR="003732F3" w:rsidRPr="00473752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דיני ישראל</w:t>
      </w:r>
      <w:r w:rsidR="003732F3"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(כ16 עמ').</w:t>
      </w:r>
    </w:p>
    <w:p w:rsidR="00473752" w:rsidRPr="00473752" w:rsidRDefault="00473752" w:rsidP="00473752">
      <w:pPr>
        <w:pStyle w:val="a8"/>
        <w:numPr>
          <w:ilvl w:val="0"/>
          <w:numId w:val="9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</w:rPr>
      </w:pP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Pr="00473752">
        <w:rPr>
          <w:rFonts w:ascii="Arial" w:eastAsia="Times New Roman" w:hAnsi="Arial" w:cs="David"/>
          <w:noProof/>
          <w:sz w:val="24"/>
          <w:szCs w:val="24"/>
          <w:rtl/>
        </w:rPr>
        <w:t xml:space="preserve">'דין פיגול במקרא ובהלכה' – </w:t>
      </w: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התקבל לפרסום </w:t>
      </w:r>
      <w:r w:rsidRPr="00473752">
        <w:rPr>
          <w:rFonts w:ascii="Arial" w:eastAsia="Times New Roman" w:hAnsi="Arial" w:cs="David" w:hint="cs"/>
          <w:b/>
          <w:bCs/>
          <w:noProof/>
          <w:sz w:val="24"/>
          <w:szCs w:val="24"/>
          <w:rtl/>
        </w:rPr>
        <w:t>ב</w:t>
      </w:r>
      <w:r w:rsidRPr="00473752">
        <w:rPr>
          <w:rFonts w:ascii="Arial" w:eastAsia="Times New Roman" w:hAnsi="Arial" w:cs="David"/>
          <w:b/>
          <w:bCs/>
          <w:noProof/>
          <w:sz w:val="24"/>
          <w:szCs w:val="24"/>
          <w:rtl/>
        </w:rPr>
        <w:t>מגדים</w:t>
      </w:r>
      <w:r w:rsidRPr="00473752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(כ-15 עמ').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3732F3" w:rsidRDefault="003732F3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שנשלחו</w:t>
      </w:r>
    </w:p>
    <w:p w:rsidR="003732F3" w:rsidRPr="003732F3" w:rsidRDefault="008F57A4" w:rsidP="008522FB">
      <w:pPr>
        <w:pStyle w:val="a8"/>
        <w:numPr>
          <w:ilvl w:val="0"/>
          <w:numId w:val="11"/>
        </w:numPr>
        <w:spacing w:after="0" w:line="360" w:lineRule="auto"/>
        <w:ind w:left="804" w:hanging="444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** </w:t>
      </w:r>
      <w:r w:rsidR="00C531BD">
        <w:rPr>
          <w:rFonts w:asciiTheme="majorBidi" w:eastAsia="Times New Roman" w:hAnsiTheme="majorBidi" w:cstheme="majorBidi"/>
          <w:noProof/>
          <w:sz w:val="24"/>
          <w:szCs w:val="24"/>
        </w:rPr>
        <w:t>'</w:t>
      </w:r>
      <w:r w:rsidR="003732F3" w:rsidRPr="00C531BD">
        <w:rPr>
          <w:rFonts w:asciiTheme="majorBidi" w:eastAsia="Times New Roman" w:hAnsiTheme="majorBidi" w:cstheme="majorBidi"/>
          <w:noProof/>
          <w:sz w:val="24"/>
          <w:szCs w:val="24"/>
        </w:rPr>
        <w:t>The Biblical Stranger as an “Originative” Concept in the “Religion of Reason</w:t>
      </w:r>
      <w:r w:rsidR="00C531BD">
        <w:rPr>
          <w:rFonts w:asciiTheme="majorBidi" w:eastAsia="Times New Roman" w:hAnsiTheme="majorBidi" w:cstheme="majorBidi"/>
          <w:noProof/>
          <w:sz w:val="24"/>
          <w:szCs w:val="24"/>
        </w:rPr>
        <w:t>" '</w:t>
      </w:r>
      <w:r w:rsidR="003732F3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– 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(כ-20 עמ').</w:t>
      </w:r>
    </w:p>
    <w:p w:rsidR="003732F3" w:rsidRDefault="008F57A4" w:rsidP="008522FB">
      <w:pPr>
        <w:pStyle w:val="a8"/>
        <w:numPr>
          <w:ilvl w:val="0"/>
          <w:numId w:val="11"/>
        </w:numPr>
        <w:spacing w:after="0" w:line="360" w:lineRule="auto"/>
        <w:ind w:left="804" w:hanging="444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'</w:t>
      </w:r>
      <w:r w:rsidR="003732F3" w:rsidRPr="003732F3">
        <w:rPr>
          <w:rFonts w:ascii="Arial" w:eastAsia="Times New Roman" w:hAnsi="Arial" w:cs="David"/>
          <w:noProof/>
          <w:sz w:val="24"/>
          <w:szCs w:val="24"/>
          <w:rtl/>
        </w:rPr>
        <w:t>פירוש "מעשה לבנת הספיר" בכתבי הרמב"ם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'</w:t>
      </w:r>
      <w:r w:rsidR="003732F3"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 – </w:t>
      </w:r>
      <w:r w:rsidR="003732F3">
        <w:rPr>
          <w:rFonts w:ascii="Arial" w:eastAsia="Times New Roman" w:hAnsi="Arial" w:cs="David" w:hint="cs"/>
          <w:noProof/>
          <w:sz w:val="24"/>
          <w:szCs w:val="24"/>
          <w:rtl/>
        </w:rPr>
        <w:t>(כ-15 עמ').</w:t>
      </w:r>
    </w:p>
    <w:p w:rsidR="008522FB" w:rsidRDefault="0064102C" w:rsidP="008522FB">
      <w:pPr>
        <w:pStyle w:val="a8"/>
        <w:numPr>
          <w:ilvl w:val="0"/>
          <w:numId w:val="11"/>
        </w:numPr>
        <w:spacing w:after="0" w:line="360" w:lineRule="auto"/>
        <w:jc w:val="right"/>
        <w:rPr>
          <w:rFonts w:asciiTheme="majorBidi" w:eastAsia="Times New Roman" w:hAnsiTheme="majorBidi" w:cstheme="majorBidi"/>
          <w:noProof/>
          <w:sz w:val="24"/>
          <w:szCs w:val="24"/>
        </w:rPr>
      </w:pP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** </w:t>
      </w:r>
      <w:r w:rsidRPr="008522FB">
        <w:rPr>
          <w:rFonts w:asciiTheme="majorBidi" w:eastAsia="Times New Roman" w:hAnsiTheme="majorBidi" w:cstheme="majorBidi"/>
          <w:noProof/>
          <w:sz w:val="24"/>
          <w:szCs w:val="24"/>
        </w:rPr>
        <w:t>"From “God of the World” to “God of the Heavens”: From the Mishneh Torah The Guide of the Perplexed"</w:t>
      </w: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 </w:t>
      </w:r>
      <w:r w:rsidRPr="008522FB">
        <w:rPr>
          <w:rFonts w:asciiTheme="majorBidi" w:eastAsia="Times New Roman" w:hAnsiTheme="majorBidi" w:cstheme="majorBidi"/>
          <w:noProof/>
          <w:sz w:val="24"/>
          <w:szCs w:val="24"/>
          <w:rtl/>
        </w:rPr>
        <w:t>–</w:t>
      </w: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 xml:space="preserve"> </w:t>
      </w:r>
      <w:r w:rsidRPr="008522FB">
        <w:rPr>
          <w:rFonts w:ascii="David" w:eastAsia="Times New Roman" w:hAnsi="David" w:cs="David"/>
          <w:noProof/>
          <w:sz w:val="24"/>
          <w:szCs w:val="24"/>
          <w:rtl/>
        </w:rPr>
        <w:t>(20 עמ')</w:t>
      </w:r>
      <w:r w:rsidRPr="008522FB">
        <w:rPr>
          <w:rFonts w:asciiTheme="majorBidi" w:eastAsia="Times New Roman" w:hAnsiTheme="majorBidi" w:cstheme="majorBidi" w:hint="cs"/>
          <w:noProof/>
          <w:sz w:val="24"/>
          <w:szCs w:val="24"/>
          <w:rtl/>
        </w:rPr>
        <w:t>.</w:t>
      </w:r>
    </w:p>
    <w:p w:rsidR="008522FB" w:rsidRPr="008522FB" w:rsidRDefault="008522FB" w:rsidP="008522FB">
      <w:pPr>
        <w:pStyle w:val="a8"/>
        <w:numPr>
          <w:ilvl w:val="0"/>
          <w:numId w:val="11"/>
        </w:numPr>
        <w:spacing w:after="0" w:line="360" w:lineRule="auto"/>
        <w:jc w:val="right"/>
        <w:rPr>
          <w:rFonts w:asciiTheme="majorBidi" w:eastAsia="Times New Roman" w:hAnsiTheme="majorBidi" w:cstheme="majorBidi"/>
          <w:noProof/>
          <w:sz w:val="24"/>
          <w:szCs w:val="24"/>
          <w:rtl/>
        </w:rPr>
      </w:pPr>
      <w:r w:rsidRPr="008522FB">
        <w:rPr>
          <w:rFonts w:asciiTheme="majorBidi" w:eastAsia="Times New Roman" w:hAnsiTheme="majorBidi" w:cstheme="majorBidi"/>
          <w:noProof/>
          <w:sz w:val="24"/>
          <w:szCs w:val="24"/>
          <w:rtl/>
        </w:rPr>
        <w:t xml:space="preserve">** </w:t>
      </w:r>
      <w:r w:rsidRPr="008522FB">
        <w:rPr>
          <w:rFonts w:asciiTheme="majorBidi" w:eastAsia="Times New Roman" w:hAnsiTheme="majorBidi" w:cstheme="majorBidi"/>
          <w:noProof/>
          <w:sz w:val="24"/>
          <w:szCs w:val="24"/>
        </w:rPr>
        <w:t>Nazirites in Medieval Judaism, Encyclopedia of the Bible and Its Reception, De Gruyter · Berlin · Boston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112590" w:rsidRPr="00112590" w:rsidRDefault="00112590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112590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שפורסמו בבמות לא שפיטות</w:t>
      </w:r>
      <w:r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:</w:t>
      </w:r>
    </w:p>
    <w:p w:rsidR="00112590" w:rsidRDefault="008F57A4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12590" w:rsidRPr="003732F3">
        <w:rPr>
          <w:rFonts w:ascii="Arial" w:eastAsia="Times New Roman" w:hAnsi="Arial" w:cs="David"/>
          <w:noProof/>
          <w:sz w:val="24"/>
          <w:szCs w:val="24"/>
          <w:rtl/>
        </w:rPr>
        <w:t>'הומניזם, דמוקרטיה וזכויות אדם במשנתו של הרב אהרון ליכטנשטיין</w:t>
      </w:r>
      <w:r w:rsidR="00112590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(בשיתוף עם אביעד הכהן)</w:t>
      </w:r>
      <w:r w:rsidR="00112590" w:rsidRPr="003732F3">
        <w:rPr>
          <w:rFonts w:ascii="Arial" w:eastAsia="Times New Roman" w:hAnsi="Arial" w:cs="David"/>
          <w:noProof/>
          <w:sz w:val="24"/>
          <w:szCs w:val="24"/>
          <w:rtl/>
        </w:rPr>
        <w:t>, ישראל: המכון הישראלי לדמוקרטיה, תשע"ו, עמ' 30-2.</w:t>
      </w:r>
    </w:p>
    <w:p w:rsidR="00112590" w:rsidRPr="003732F3" w:rsidRDefault="008F57A4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 xml:space="preserve">** </w:t>
      </w:r>
      <w:r w:rsidR="00112590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'בין ישראל לעמים', מנחם דסברג וברון דסברג (עורכים), רצה בדבריהם: </w:t>
      </w:r>
      <w:r w:rsidR="00166EC9">
        <w:rPr>
          <w:rFonts w:ascii="Arial" w:eastAsia="Times New Roman" w:hAnsi="Arial" w:cs="David" w:hint="cs"/>
          <w:noProof/>
          <w:sz w:val="24"/>
          <w:szCs w:val="24"/>
          <w:rtl/>
        </w:rPr>
        <w:t>מסביב להפטרות בשמונים מאמרים, תל-אביב: טפר, עמ' 149-146.</w:t>
      </w:r>
    </w:p>
    <w:p w:rsidR="00112590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 xml:space="preserve">"לקט, פרט ופאה: בין המשנה לספרא", משלב מב (אלול תש"ע), עמ' 16-1. </w:t>
      </w:r>
    </w:p>
    <w:p w:rsidR="00166EC9" w:rsidRPr="003732F3" w:rsidRDefault="00166EC9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>
        <w:rPr>
          <w:rFonts w:ascii="Arial" w:eastAsia="Times New Roman" w:hAnsi="Arial" w:cs="David" w:hint="cs"/>
          <w:noProof/>
          <w:sz w:val="24"/>
          <w:szCs w:val="24"/>
          <w:rtl/>
        </w:rPr>
        <w:t>'מהו המשכן', הדס אחיטוב ואריאל פיקאר (עורכים), לקראת שבת: קריאות אישיות בפרשת השבוע, עין צורים: מרכז יעקב הרצוג ללימודי יהדות, 2005, עמ' 159-156.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"ניר לא הוי חזקה", משלב לז, אלול תשס"ב, עמ' 151-143.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"היחס בין וידוי ותשובה ברמב"ם", עלון שבות בוגרים, אלול תשנ"ה, עמ' 55-49.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lastRenderedPageBreak/>
        <w:t>"שיטת הרמב"ם בתברא או שתייה", עלון שבות, אלול תשמ"ה, עמ' 27-19.</w:t>
      </w:r>
    </w:p>
    <w:p w:rsidR="00112590" w:rsidRPr="003732F3" w:rsidRDefault="00112590" w:rsidP="00706742">
      <w:pPr>
        <w:pStyle w:val="a8"/>
        <w:numPr>
          <w:ilvl w:val="0"/>
          <w:numId w:val="12"/>
        </w:numPr>
        <w:spacing w:after="0" w:line="360" w:lineRule="auto"/>
        <w:ind w:hanging="341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3732F3">
        <w:rPr>
          <w:rFonts w:ascii="Arial" w:eastAsia="Times New Roman" w:hAnsi="Arial" w:cs="David"/>
          <w:noProof/>
          <w:sz w:val="24"/>
          <w:szCs w:val="24"/>
          <w:rtl/>
        </w:rPr>
        <w:t>"עיקר וטפל בברכות", עלון שבות, אדר ב' תשמ"ד, עמ' 196-185.</w:t>
      </w:r>
    </w:p>
    <w:p w:rsidR="00473752" w:rsidRDefault="00473752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</w:p>
    <w:p w:rsidR="00112590" w:rsidRPr="00BD7BC6" w:rsidRDefault="00BD7BC6" w:rsidP="00706742">
      <w:p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u w:val="single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u w:val="single"/>
          <w:rtl/>
        </w:rPr>
        <w:t>מאמרים בכתיבה:</w:t>
      </w:r>
    </w:p>
    <w:p w:rsidR="00BD7BC6" w:rsidRPr="00BD7BC6" w:rsidRDefault="00BD7BC6" w:rsidP="0070674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'יחסו של רמב"ן לרמב"ם בפירושו לתורה </w:t>
      </w:r>
      <w:r w:rsidRPr="00BD7BC6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ביקורת והפנמה'.</w:t>
      </w:r>
    </w:p>
    <w:p w:rsidR="00BD7BC6" w:rsidRPr="00BD7BC6" w:rsidRDefault="00BD7BC6" w:rsidP="00706742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'קדושה, חוויה ותבונה </w:t>
      </w:r>
      <w:r w:rsidRPr="00BD7BC6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בין הרב סולובייצ'יק לרב ליכטנשטיין'.</w:t>
      </w:r>
    </w:p>
    <w:p w:rsidR="009D2464" w:rsidRPr="00E612D0" w:rsidRDefault="00BD7BC6" w:rsidP="00E612D0">
      <w:pPr>
        <w:pStyle w:val="a8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David"/>
          <w:noProof/>
          <w:sz w:val="24"/>
          <w:szCs w:val="24"/>
          <w:rtl/>
        </w:rPr>
      </w:pP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'ימי המילואים ואכילת כהנים' </w:t>
      </w:r>
      <w:r w:rsidRPr="00BD7BC6">
        <w:rPr>
          <w:rFonts w:ascii="Arial" w:eastAsia="Times New Roman" w:hAnsi="Arial" w:cs="David"/>
          <w:noProof/>
          <w:sz w:val="24"/>
          <w:szCs w:val="24"/>
          <w:rtl/>
        </w:rPr>
        <w:t>–</w:t>
      </w:r>
      <w:r w:rsidRPr="00BD7BC6">
        <w:rPr>
          <w:rFonts w:ascii="Arial" w:eastAsia="Times New Roman" w:hAnsi="Arial" w:cs="David" w:hint="cs"/>
          <w:noProof/>
          <w:sz w:val="24"/>
          <w:szCs w:val="24"/>
          <w:rtl/>
        </w:rPr>
        <w:t xml:space="preserve"> בשיתוף עם יוני גרוסמן.</w:t>
      </w:r>
      <w:bookmarkStart w:id="0" w:name="_GoBack"/>
      <w:bookmarkEnd w:id="0"/>
    </w:p>
    <w:sectPr w:rsidR="009D2464" w:rsidRPr="00E612D0" w:rsidSect="001E789D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68" w:rsidRDefault="00155268" w:rsidP="002F4F90">
      <w:pPr>
        <w:spacing w:after="0" w:line="240" w:lineRule="auto"/>
      </w:pPr>
      <w:r>
        <w:separator/>
      </w:r>
    </w:p>
  </w:endnote>
  <w:endnote w:type="continuationSeparator" w:id="0">
    <w:p w:rsidR="00155268" w:rsidRDefault="00155268" w:rsidP="002F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D1" w:rsidRDefault="004502D1">
    <w:pPr>
      <w:pStyle w:val="ab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E612D0" w:rsidRPr="00E612D0">
      <w:rPr>
        <w:noProof/>
        <w:rtl/>
        <w:lang w:val="he-IL"/>
      </w:rPr>
      <w:t>1</w:t>
    </w:r>
    <w:r>
      <w:fldChar w:fldCharType="end"/>
    </w:r>
  </w:p>
  <w:p w:rsidR="004502D1" w:rsidRDefault="004502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68" w:rsidRDefault="00155268" w:rsidP="002F4F90">
      <w:pPr>
        <w:spacing w:after="0" w:line="240" w:lineRule="auto"/>
      </w:pPr>
      <w:r>
        <w:separator/>
      </w:r>
    </w:p>
  </w:footnote>
  <w:footnote w:type="continuationSeparator" w:id="0">
    <w:p w:rsidR="00155268" w:rsidRDefault="00155268" w:rsidP="002F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D08"/>
    <w:multiLevelType w:val="hybridMultilevel"/>
    <w:tmpl w:val="80D63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F796C"/>
    <w:multiLevelType w:val="hybridMultilevel"/>
    <w:tmpl w:val="028E7042"/>
    <w:lvl w:ilvl="0" w:tplc="9176CE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218"/>
    <w:multiLevelType w:val="hybridMultilevel"/>
    <w:tmpl w:val="82128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3DF0"/>
    <w:multiLevelType w:val="hybridMultilevel"/>
    <w:tmpl w:val="B4802338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A2414"/>
    <w:multiLevelType w:val="hybridMultilevel"/>
    <w:tmpl w:val="BC021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A5245"/>
    <w:multiLevelType w:val="hybridMultilevel"/>
    <w:tmpl w:val="5ACE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71DA0"/>
    <w:multiLevelType w:val="hybridMultilevel"/>
    <w:tmpl w:val="8E4C86A6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2B4A"/>
    <w:multiLevelType w:val="hybridMultilevel"/>
    <w:tmpl w:val="ED1CF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56578"/>
    <w:multiLevelType w:val="hybridMultilevel"/>
    <w:tmpl w:val="49F6E9F2"/>
    <w:lvl w:ilvl="0" w:tplc="BE929B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B610A"/>
    <w:multiLevelType w:val="hybridMultilevel"/>
    <w:tmpl w:val="FA0C3A58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D37CE"/>
    <w:multiLevelType w:val="hybridMultilevel"/>
    <w:tmpl w:val="7A8CC486"/>
    <w:lvl w:ilvl="0" w:tplc="02720E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C20117"/>
    <w:multiLevelType w:val="hybridMultilevel"/>
    <w:tmpl w:val="F634A9F6"/>
    <w:lvl w:ilvl="0" w:tplc="6FDE2288">
      <w:start w:val="1"/>
      <w:numFmt w:val="decimal"/>
      <w:lvlText w:val="%1."/>
      <w:lvlJc w:val="left"/>
      <w:pPr>
        <w:ind w:left="109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2">
    <w:nsid w:val="61B52C7C"/>
    <w:multiLevelType w:val="hybridMultilevel"/>
    <w:tmpl w:val="9A66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F576A"/>
    <w:multiLevelType w:val="hybridMultilevel"/>
    <w:tmpl w:val="EAA6A9BC"/>
    <w:lvl w:ilvl="0" w:tplc="70D415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F06303"/>
    <w:multiLevelType w:val="hybridMultilevel"/>
    <w:tmpl w:val="327C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E5BA2"/>
    <w:multiLevelType w:val="hybridMultilevel"/>
    <w:tmpl w:val="EAA6A9BC"/>
    <w:lvl w:ilvl="0" w:tplc="70D415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272F9"/>
    <w:multiLevelType w:val="hybridMultilevel"/>
    <w:tmpl w:val="B4802338"/>
    <w:lvl w:ilvl="0" w:tplc="598242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16310"/>
    <w:multiLevelType w:val="hybridMultilevel"/>
    <w:tmpl w:val="2F484838"/>
    <w:lvl w:ilvl="0" w:tplc="88FA5A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6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12"/>
  </w:num>
  <w:num w:numId="16">
    <w:abstractNumId w:val="14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AA"/>
    <w:rsid w:val="00023AFF"/>
    <w:rsid w:val="00031FDB"/>
    <w:rsid w:val="00033F40"/>
    <w:rsid w:val="000A7490"/>
    <w:rsid w:val="00112590"/>
    <w:rsid w:val="00141757"/>
    <w:rsid w:val="00145F81"/>
    <w:rsid w:val="00153B11"/>
    <w:rsid w:val="00155268"/>
    <w:rsid w:val="00166EC9"/>
    <w:rsid w:val="001C013C"/>
    <w:rsid w:val="001E4EBF"/>
    <w:rsid w:val="001E789D"/>
    <w:rsid w:val="001F068A"/>
    <w:rsid w:val="00262A93"/>
    <w:rsid w:val="002666B0"/>
    <w:rsid w:val="00296C40"/>
    <w:rsid w:val="002C3AE9"/>
    <w:rsid w:val="002D5A12"/>
    <w:rsid w:val="002F4F90"/>
    <w:rsid w:val="003732F3"/>
    <w:rsid w:val="00386A21"/>
    <w:rsid w:val="0039469F"/>
    <w:rsid w:val="003B765E"/>
    <w:rsid w:val="004222EE"/>
    <w:rsid w:val="0043089D"/>
    <w:rsid w:val="004502D1"/>
    <w:rsid w:val="00473752"/>
    <w:rsid w:val="004811F1"/>
    <w:rsid w:val="0049427A"/>
    <w:rsid w:val="004B4A5C"/>
    <w:rsid w:val="004C5C14"/>
    <w:rsid w:val="00546521"/>
    <w:rsid w:val="00560D07"/>
    <w:rsid w:val="005C07A3"/>
    <w:rsid w:val="00603872"/>
    <w:rsid w:val="0064102C"/>
    <w:rsid w:val="006D2D37"/>
    <w:rsid w:val="00706742"/>
    <w:rsid w:val="00722820"/>
    <w:rsid w:val="00757381"/>
    <w:rsid w:val="00761CAA"/>
    <w:rsid w:val="007652F6"/>
    <w:rsid w:val="00783B5E"/>
    <w:rsid w:val="007A0424"/>
    <w:rsid w:val="007C0F71"/>
    <w:rsid w:val="007F61A6"/>
    <w:rsid w:val="00801484"/>
    <w:rsid w:val="00813601"/>
    <w:rsid w:val="00845E9E"/>
    <w:rsid w:val="00847B0A"/>
    <w:rsid w:val="008522FB"/>
    <w:rsid w:val="008A49D4"/>
    <w:rsid w:val="008C428E"/>
    <w:rsid w:val="008C4ED4"/>
    <w:rsid w:val="008F57A4"/>
    <w:rsid w:val="009112A5"/>
    <w:rsid w:val="009244C9"/>
    <w:rsid w:val="00942F9B"/>
    <w:rsid w:val="009440D9"/>
    <w:rsid w:val="00947C3D"/>
    <w:rsid w:val="00964CAE"/>
    <w:rsid w:val="00970AA5"/>
    <w:rsid w:val="00972A98"/>
    <w:rsid w:val="0098383B"/>
    <w:rsid w:val="00991D29"/>
    <w:rsid w:val="009D2464"/>
    <w:rsid w:val="00A5409D"/>
    <w:rsid w:val="00A72F27"/>
    <w:rsid w:val="00AC5DAD"/>
    <w:rsid w:val="00AF2F1A"/>
    <w:rsid w:val="00B56F94"/>
    <w:rsid w:val="00B626A4"/>
    <w:rsid w:val="00B70A21"/>
    <w:rsid w:val="00B76602"/>
    <w:rsid w:val="00BA5835"/>
    <w:rsid w:val="00BD7BC6"/>
    <w:rsid w:val="00C1004A"/>
    <w:rsid w:val="00C17CDA"/>
    <w:rsid w:val="00C2123F"/>
    <w:rsid w:val="00C50A9A"/>
    <w:rsid w:val="00C531BD"/>
    <w:rsid w:val="00C85C6C"/>
    <w:rsid w:val="00C97976"/>
    <w:rsid w:val="00CC64FD"/>
    <w:rsid w:val="00CE7A16"/>
    <w:rsid w:val="00CF5517"/>
    <w:rsid w:val="00D16F8A"/>
    <w:rsid w:val="00DA2FE3"/>
    <w:rsid w:val="00E612D0"/>
    <w:rsid w:val="00E756B5"/>
    <w:rsid w:val="00E83E0A"/>
    <w:rsid w:val="00E934A4"/>
    <w:rsid w:val="00EB3A45"/>
    <w:rsid w:val="00F06AE6"/>
    <w:rsid w:val="00F33271"/>
    <w:rsid w:val="00F53972"/>
    <w:rsid w:val="00FA5B1E"/>
    <w:rsid w:val="00F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9838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6521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F4F90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F4F90"/>
  </w:style>
  <w:style w:type="character" w:styleId="a7">
    <w:name w:val="footnote reference"/>
    <w:semiHidden/>
    <w:unhideWhenUsed/>
    <w:rsid w:val="002F4F9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C3AE9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4502D1"/>
    <w:pPr>
      <w:ind w:left="720"/>
    </w:pPr>
  </w:style>
  <w:style w:type="paragraph" w:styleId="a9">
    <w:name w:val="header"/>
    <w:basedOn w:val="a"/>
    <w:link w:val="aa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link w:val="a9"/>
    <w:uiPriority w:val="99"/>
    <w:rsid w:val="004502D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link w:val="ab"/>
    <w:uiPriority w:val="99"/>
    <w:rsid w:val="004502D1"/>
    <w:rPr>
      <w:sz w:val="22"/>
      <w:szCs w:val="22"/>
    </w:rPr>
  </w:style>
  <w:style w:type="table" w:styleId="ad">
    <w:name w:val="Table Grid"/>
    <w:basedOn w:val="a1"/>
    <w:uiPriority w:val="59"/>
    <w:rsid w:val="0084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9838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6521"/>
    <w:rPr>
      <w:color w:val="0563C1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F4F90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F4F90"/>
  </w:style>
  <w:style w:type="character" w:styleId="a7">
    <w:name w:val="footnote reference"/>
    <w:semiHidden/>
    <w:unhideWhenUsed/>
    <w:rsid w:val="002F4F90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2C3AE9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4502D1"/>
    <w:pPr>
      <w:ind w:left="720"/>
    </w:pPr>
  </w:style>
  <w:style w:type="paragraph" w:styleId="a9">
    <w:name w:val="header"/>
    <w:basedOn w:val="a"/>
    <w:link w:val="aa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link w:val="a9"/>
    <w:uiPriority w:val="99"/>
    <w:rsid w:val="004502D1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502D1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link w:val="ab"/>
    <w:uiPriority w:val="99"/>
    <w:rsid w:val="004502D1"/>
    <w:rPr>
      <w:sz w:val="22"/>
      <w:szCs w:val="22"/>
    </w:rPr>
  </w:style>
  <w:style w:type="table" w:styleId="ad">
    <w:name w:val="Table Grid"/>
    <w:basedOn w:val="a1"/>
    <w:uiPriority w:val="59"/>
    <w:rsid w:val="0084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http://www.herzog.ac.il/index.php?option=com_content&amp;view=article&amp;id=1889&amp;Itemid=1556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tmpUser</dc:creator>
  <cp:lastModifiedBy>אלי</cp:lastModifiedBy>
  <cp:revision>2</cp:revision>
  <dcterms:created xsi:type="dcterms:W3CDTF">2019-10-22T14:33:00Z</dcterms:created>
  <dcterms:modified xsi:type="dcterms:W3CDTF">2019-10-22T14:33:00Z</dcterms:modified>
</cp:coreProperties>
</file>