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5E743" w14:textId="77777777" w:rsidR="00F834B9" w:rsidRPr="00F834B9" w:rsidRDefault="00F834B9" w:rsidP="00F834B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8C5A975" w14:textId="77777777" w:rsidR="00F834B9" w:rsidRPr="00F834B9" w:rsidRDefault="00F834B9" w:rsidP="00F834B9">
      <w:pPr>
        <w:keepNext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1"/>
        <w:rPr>
          <w:rFonts w:ascii="David" w:hAnsi="David" w:cs="David"/>
          <w:bCs/>
          <w:sz w:val="32"/>
          <w:szCs w:val="32"/>
          <w:rtl/>
          <w:lang w:eastAsia="he-IL"/>
        </w:rPr>
      </w:pPr>
      <w:r w:rsidRPr="00F834B9">
        <w:rPr>
          <w:rFonts w:ascii="David" w:hAnsi="David" w:cs="David"/>
          <w:bCs/>
          <w:sz w:val="32"/>
          <w:szCs w:val="32"/>
          <w:rtl/>
          <w:lang w:eastAsia="he-IL"/>
        </w:rPr>
        <w:t>מאמרים</w:t>
      </w:r>
    </w:p>
    <w:p w14:paraId="22029A80" w14:textId="77777777" w:rsidR="00F834B9" w:rsidRPr="00F834B9" w:rsidRDefault="00F834B9" w:rsidP="00F834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360" w:lineRule="auto"/>
        <w:ind w:left="226" w:hanging="284"/>
        <w:jc w:val="both"/>
        <w:textAlignment w:val="baseline"/>
        <w:rPr>
          <w:rFonts w:ascii="David" w:hAnsi="David" w:cs="David"/>
          <w:b/>
          <w:sz w:val="24"/>
          <w:szCs w:val="24"/>
          <w:rtl/>
          <w:lang w:eastAsia="he-IL"/>
        </w:rPr>
      </w:pPr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 xml:space="preserve">"סוגיות מוחלפות ומתחלפות - בירור לשוני", משלב </w:t>
      </w:r>
      <w:proofErr w:type="spellStart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כו</w:t>
      </w:r>
      <w:proofErr w:type="spellEnd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 xml:space="preserve"> (תשנ"ד) עמ' 34 - 35</w:t>
      </w:r>
    </w:p>
    <w:p w14:paraId="58EDEA0A" w14:textId="77777777" w:rsidR="00F834B9" w:rsidRPr="00F834B9" w:rsidRDefault="00F834B9" w:rsidP="00F834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360" w:lineRule="auto"/>
        <w:ind w:left="226" w:hanging="284"/>
        <w:jc w:val="both"/>
        <w:textAlignment w:val="baseline"/>
        <w:rPr>
          <w:rFonts w:ascii="David" w:hAnsi="David" w:cs="David"/>
          <w:b/>
          <w:sz w:val="24"/>
          <w:szCs w:val="24"/>
          <w:rtl/>
          <w:lang w:eastAsia="he-IL"/>
        </w:rPr>
      </w:pPr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"מערכת הפועל בלשון חכמים לפי כתב-יד תימני עתיק" , מסורות ג-ד (תשמ"ט),  עמ' 37-71</w:t>
      </w:r>
    </w:p>
    <w:p w14:paraId="3A387968" w14:textId="77777777" w:rsidR="00F834B9" w:rsidRPr="00F834B9" w:rsidRDefault="00F834B9" w:rsidP="00F834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360" w:lineRule="auto"/>
        <w:ind w:left="226" w:hanging="284"/>
        <w:jc w:val="both"/>
        <w:textAlignment w:val="baseline"/>
        <w:rPr>
          <w:rFonts w:ascii="David" w:hAnsi="David" w:cs="David"/>
          <w:b/>
          <w:sz w:val="24"/>
          <w:szCs w:val="24"/>
          <w:rtl/>
          <w:lang w:eastAsia="he-IL"/>
        </w:rPr>
      </w:pPr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 xml:space="preserve">"לשונו של ר' אברהם בר </w:t>
      </w:r>
      <w:proofErr w:type="spellStart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חייא</w:t>
      </w:r>
      <w:proofErr w:type="spellEnd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 xml:space="preserve">" , לשוננו  ס' (תשנ"ז),  עמ' 277-295  </w:t>
      </w:r>
    </w:p>
    <w:p w14:paraId="23965F01" w14:textId="77777777" w:rsidR="00F834B9" w:rsidRPr="00F834B9" w:rsidRDefault="00F834B9" w:rsidP="00F834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360" w:lineRule="auto"/>
        <w:ind w:left="226" w:hanging="284"/>
        <w:jc w:val="both"/>
        <w:textAlignment w:val="baseline"/>
        <w:rPr>
          <w:rFonts w:ascii="David" w:hAnsi="David" w:cs="David"/>
          <w:b/>
          <w:sz w:val="24"/>
          <w:szCs w:val="24"/>
          <w:rtl/>
          <w:lang w:eastAsia="he-IL"/>
        </w:rPr>
      </w:pPr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"</w:t>
      </w:r>
      <w:proofErr w:type="spellStart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חסורי</w:t>
      </w:r>
      <w:proofErr w:type="spellEnd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 xml:space="preserve"> </w:t>
      </w:r>
      <w:proofErr w:type="spellStart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מחסרא</w:t>
      </w:r>
      <w:proofErr w:type="spellEnd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 xml:space="preserve"> – לדרכו של הרמב"ם בפירוש המשנה", נטועים ח' (תשס"ב), עמ' 65 - 72  </w:t>
      </w:r>
    </w:p>
    <w:p w14:paraId="5AC76322" w14:textId="77777777" w:rsidR="00F834B9" w:rsidRPr="00F834B9" w:rsidRDefault="00F834B9" w:rsidP="00F834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360" w:lineRule="auto"/>
        <w:ind w:left="226" w:hanging="284"/>
        <w:jc w:val="both"/>
        <w:textAlignment w:val="baseline"/>
        <w:rPr>
          <w:rFonts w:ascii="David" w:hAnsi="David" w:cs="David"/>
          <w:b/>
          <w:sz w:val="24"/>
          <w:szCs w:val="24"/>
          <w:rtl/>
          <w:lang w:eastAsia="he-IL"/>
        </w:rPr>
      </w:pPr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 xml:space="preserve">'עד שבא משה רבינו ונשלמה תורה על ידו' על הלכה אחת במשנה תורה", משלב </w:t>
      </w:r>
      <w:proofErr w:type="spellStart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לז</w:t>
      </w:r>
      <w:proofErr w:type="spellEnd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 xml:space="preserve"> (תשס"ב), עמ' 31 – 42 (עם מ' </w:t>
      </w:r>
      <w:proofErr w:type="spellStart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כ"ץ</w:t>
      </w:r>
      <w:proofErr w:type="spellEnd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)</w:t>
      </w:r>
    </w:p>
    <w:p w14:paraId="2E32EAEA" w14:textId="77777777" w:rsidR="00F834B9" w:rsidRPr="00F834B9" w:rsidRDefault="00F834B9" w:rsidP="00F834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360" w:lineRule="auto"/>
        <w:ind w:left="226" w:hanging="284"/>
        <w:jc w:val="both"/>
        <w:textAlignment w:val="baseline"/>
        <w:rPr>
          <w:rFonts w:ascii="David" w:hAnsi="David" w:cs="David"/>
          <w:b/>
          <w:sz w:val="24"/>
          <w:szCs w:val="24"/>
          <w:rtl/>
          <w:lang w:eastAsia="he-IL"/>
        </w:rPr>
      </w:pPr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 xml:space="preserve">" 'זכור' ו 'שמור' – על גישתו הבלשנית של רש"י" , מגדים </w:t>
      </w:r>
      <w:proofErr w:type="spellStart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מא</w:t>
      </w:r>
      <w:proofErr w:type="spellEnd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 xml:space="preserve"> (תשס"ה) עמ' 9 – 17</w:t>
      </w:r>
    </w:p>
    <w:p w14:paraId="0AD954D6" w14:textId="77777777" w:rsidR="00F834B9" w:rsidRPr="00F834B9" w:rsidRDefault="00F834B9" w:rsidP="00F834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360" w:lineRule="auto"/>
        <w:ind w:left="226" w:hanging="284"/>
        <w:jc w:val="both"/>
        <w:textAlignment w:val="baseline"/>
        <w:rPr>
          <w:rFonts w:ascii="David" w:hAnsi="David" w:cs="David"/>
          <w:b/>
          <w:sz w:val="24"/>
          <w:szCs w:val="24"/>
          <w:rtl/>
          <w:lang w:eastAsia="he-IL"/>
        </w:rPr>
      </w:pPr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"מבט חדש על חכמת הלשון", לשוננו ס"ט (תשס"ז), עמ' 185 – 187</w:t>
      </w:r>
    </w:p>
    <w:p w14:paraId="4E984638" w14:textId="77777777" w:rsidR="00F834B9" w:rsidRPr="00F834B9" w:rsidRDefault="00F834B9" w:rsidP="00F834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360" w:lineRule="auto"/>
        <w:ind w:left="226" w:hanging="284"/>
        <w:jc w:val="both"/>
        <w:textAlignment w:val="baseline"/>
        <w:rPr>
          <w:rFonts w:ascii="David" w:hAnsi="David" w:cs="David"/>
          <w:b/>
          <w:sz w:val="24"/>
          <w:szCs w:val="24"/>
          <w:rtl/>
          <w:lang w:eastAsia="he-IL"/>
        </w:rPr>
      </w:pPr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"יין ישן בקנקן חדש: מהדורה חדשה של "ספר ההשגה" מאת דוד טנא", לשוננו לעם מחזור נו, ב (תשס"ז) עמ' 95 – 98</w:t>
      </w:r>
    </w:p>
    <w:p w14:paraId="42CAC030" w14:textId="77777777" w:rsidR="00F834B9" w:rsidRPr="00F834B9" w:rsidRDefault="00F834B9" w:rsidP="00F834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360" w:lineRule="auto"/>
        <w:ind w:left="226" w:hanging="284"/>
        <w:jc w:val="both"/>
        <w:textAlignment w:val="baseline"/>
        <w:rPr>
          <w:rFonts w:ascii="David" w:hAnsi="David" w:cs="David"/>
          <w:b/>
          <w:sz w:val="24"/>
          <w:szCs w:val="24"/>
          <w:rtl/>
          <w:lang w:eastAsia="he-IL"/>
        </w:rPr>
      </w:pPr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 xml:space="preserve">"פירוש רש"י לתורה כמפעל של חיזוק השפה העברית", א' ממן ש' </w:t>
      </w:r>
      <w:proofErr w:type="spellStart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פסברג</w:t>
      </w:r>
      <w:proofErr w:type="spellEnd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 xml:space="preserve"> וי' </w:t>
      </w:r>
      <w:proofErr w:type="spellStart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ברויאר</w:t>
      </w:r>
      <w:proofErr w:type="spellEnd"/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 xml:space="preserve"> (עורכים), שערי לשון: מחקרים בלשון העברית, בארמית ובלשונות היהודים מוגשים למשה בר-אשר, ירושלים תשס"ח, עמ' 115  - 127</w:t>
      </w:r>
    </w:p>
    <w:p w14:paraId="773BD637" w14:textId="77777777" w:rsidR="00F834B9" w:rsidRPr="00F834B9" w:rsidRDefault="00F834B9" w:rsidP="00F834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360" w:lineRule="auto"/>
        <w:ind w:left="226" w:hanging="284"/>
        <w:jc w:val="both"/>
        <w:textAlignment w:val="baseline"/>
        <w:rPr>
          <w:rFonts w:ascii="David" w:hAnsi="David" w:cs="David"/>
          <w:b/>
          <w:sz w:val="24"/>
          <w:szCs w:val="24"/>
          <w:rtl/>
          <w:lang w:eastAsia="he-IL"/>
        </w:rPr>
      </w:pPr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"חשיבתו הבלשנית של רש"י", א' גרוסמן וש' יפת (עורכים), רש"י – דמותו ויצירתו, ירושלים תשס"ט,  עמ'  123 – 138</w:t>
      </w:r>
    </w:p>
    <w:p w14:paraId="4D95E195" w14:textId="77777777" w:rsidR="00F834B9" w:rsidRPr="00F834B9" w:rsidRDefault="00F834B9" w:rsidP="00F834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360" w:lineRule="auto"/>
        <w:ind w:left="226" w:hanging="284"/>
        <w:jc w:val="both"/>
        <w:textAlignment w:val="baseline"/>
        <w:rPr>
          <w:rFonts w:ascii="David" w:hAnsi="David" w:cs="David"/>
          <w:b/>
          <w:sz w:val="24"/>
          <w:szCs w:val="24"/>
          <w:lang w:eastAsia="he-IL"/>
        </w:rPr>
      </w:pPr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"תפיסת השורש של רש"י", לשוננו ע"א (תשס"ט), עמ' 105- 129</w:t>
      </w:r>
    </w:p>
    <w:p w14:paraId="67037901" w14:textId="63AC1CC4" w:rsidR="00F834B9" w:rsidRPr="004B0758" w:rsidRDefault="00F834B9" w:rsidP="004B075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360" w:lineRule="auto"/>
        <w:ind w:left="226" w:hanging="284"/>
        <w:jc w:val="both"/>
        <w:textAlignment w:val="baseline"/>
        <w:rPr>
          <w:rFonts w:ascii="David" w:hAnsi="David" w:cs="David"/>
          <w:b/>
          <w:lang w:eastAsia="he-IL"/>
        </w:rPr>
      </w:pPr>
      <w:r w:rsidRPr="00F834B9">
        <w:rPr>
          <w:rFonts w:ascii="David" w:hAnsi="David" w:cs="David"/>
          <w:rtl/>
        </w:rPr>
        <w:t xml:space="preserve">"עצמאותו של רש"י בתחום המילון", לשוננו </w:t>
      </w:r>
      <w:proofErr w:type="spellStart"/>
      <w:r w:rsidRPr="00F834B9">
        <w:rPr>
          <w:rFonts w:ascii="David" w:hAnsi="David" w:cs="David"/>
          <w:rtl/>
        </w:rPr>
        <w:t>עג</w:t>
      </w:r>
      <w:proofErr w:type="spellEnd"/>
      <w:r w:rsidRPr="00F834B9">
        <w:rPr>
          <w:rFonts w:ascii="David" w:hAnsi="David" w:cs="David"/>
          <w:rtl/>
        </w:rPr>
        <w:t xml:space="preserve">, (תשע"א), עמ' 437 - 447 </w:t>
      </w:r>
    </w:p>
    <w:p w14:paraId="0B460ADC" w14:textId="772A2BD3" w:rsidR="00F834B9" w:rsidRPr="00F834B9" w:rsidRDefault="00F834B9" w:rsidP="00F834B9">
      <w:pPr>
        <w:tabs>
          <w:tab w:val="left" w:pos="1872"/>
          <w:tab w:val="left" w:pos="5472"/>
          <w:tab w:val="left" w:pos="7200"/>
          <w:tab w:val="left" w:pos="8063"/>
          <w:tab w:val="left" w:pos="9216"/>
          <w:tab w:val="left" w:pos="10368"/>
        </w:tabs>
        <w:spacing w:after="60" w:line="360" w:lineRule="auto"/>
        <w:outlineLvl w:val="0"/>
        <w:rPr>
          <w:rFonts w:ascii="David" w:hAnsi="David" w:cs="David"/>
          <w:b/>
          <w:noProof/>
          <w:sz w:val="24"/>
          <w:szCs w:val="24"/>
          <w:rtl/>
          <w:lang w:eastAsia="he-IL"/>
        </w:rPr>
      </w:pPr>
      <w:r w:rsidRPr="00F834B9">
        <w:rPr>
          <w:rFonts w:ascii="David" w:hAnsi="David" w:cs="David"/>
          <w:b/>
          <w:noProof/>
          <w:sz w:val="24"/>
          <w:szCs w:val="24"/>
          <w:rtl/>
          <w:lang w:eastAsia="he-IL"/>
        </w:rPr>
        <w:t>1</w:t>
      </w:r>
      <w:r w:rsidR="004B0758">
        <w:rPr>
          <w:rFonts w:ascii="David" w:hAnsi="David" w:cs="David" w:hint="cs"/>
          <w:b/>
          <w:noProof/>
          <w:sz w:val="24"/>
          <w:szCs w:val="24"/>
          <w:rtl/>
          <w:lang w:eastAsia="he-IL"/>
        </w:rPr>
        <w:t>3</w:t>
      </w:r>
      <w:r w:rsidRPr="00F834B9">
        <w:rPr>
          <w:rFonts w:ascii="David" w:hAnsi="David" w:cs="David"/>
          <w:b/>
          <w:noProof/>
          <w:sz w:val="24"/>
          <w:szCs w:val="24"/>
          <w:rtl/>
          <w:lang w:eastAsia="he-IL"/>
        </w:rPr>
        <w:t xml:space="preserve">. </w:t>
      </w:r>
      <w:r w:rsidRPr="00F834B9">
        <w:rPr>
          <w:rFonts w:ascii="David" w:hAnsi="David" w:cs="David"/>
          <w:b/>
          <w:sz w:val="24"/>
          <w:szCs w:val="24"/>
          <w:rtl/>
          <w:lang w:eastAsia="he-IL"/>
        </w:rPr>
        <w:t>"עוד על ההתאם בלשון המקרא" , דעת לשון ב (תשע"ו), עמ' 35 - 46</w:t>
      </w:r>
    </w:p>
    <w:p w14:paraId="191B5831" w14:textId="60E2AA08" w:rsidR="00F834B9" w:rsidRPr="00F834B9" w:rsidRDefault="00F834B9" w:rsidP="00F834B9">
      <w:pPr>
        <w:tabs>
          <w:tab w:val="left" w:pos="1872"/>
          <w:tab w:val="left" w:pos="5472"/>
          <w:tab w:val="left" w:pos="7200"/>
          <w:tab w:val="left" w:pos="8063"/>
          <w:tab w:val="left" w:pos="9216"/>
          <w:tab w:val="left" w:pos="10368"/>
        </w:tabs>
        <w:spacing w:after="60" w:line="360" w:lineRule="auto"/>
        <w:outlineLvl w:val="0"/>
        <w:rPr>
          <w:rFonts w:ascii="David" w:hAnsi="David" w:cs="David"/>
          <w:b/>
          <w:noProof/>
          <w:sz w:val="24"/>
          <w:szCs w:val="24"/>
          <w:rtl/>
          <w:lang w:eastAsia="he-IL"/>
        </w:rPr>
      </w:pPr>
      <w:r w:rsidRPr="00F834B9">
        <w:rPr>
          <w:rFonts w:ascii="David" w:hAnsi="David" w:cs="David"/>
          <w:b/>
          <w:noProof/>
          <w:sz w:val="24"/>
          <w:szCs w:val="24"/>
          <w:rtl/>
          <w:lang w:eastAsia="he-IL"/>
        </w:rPr>
        <w:t>1</w:t>
      </w:r>
      <w:r w:rsidR="004B0758">
        <w:rPr>
          <w:rFonts w:ascii="David" w:hAnsi="David" w:cs="David" w:hint="cs"/>
          <w:b/>
          <w:noProof/>
          <w:sz w:val="24"/>
          <w:szCs w:val="24"/>
          <w:rtl/>
          <w:lang w:eastAsia="he-IL"/>
        </w:rPr>
        <w:t>4</w:t>
      </w:r>
      <w:r w:rsidRPr="00F834B9">
        <w:rPr>
          <w:rFonts w:ascii="David" w:hAnsi="David" w:cs="David"/>
          <w:b/>
          <w:noProof/>
          <w:sz w:val="24"/>
          <w:szCs w:val="24"/>
          <w:rtl/>
          <w:lang w:eastAsia="he-IL"/>
        </w:rPr>
        <w:t>. "מקור נוסף להכרת לשון חכמים" [סקירה על ע' תירוש בקר, גנזי חז"ל בספרות הקראית בימי הביניים], לשוננו עח (תשע"ו), עמ' 219 - 224</w:t>
      </w:r>
    </w:p>
    <w:p w14:paraId="4913011A" w14:textId="4573DC53" w:rsidR="00F834B9" w:rsidRPr="00F834B9" w:rsidRDefault="00F834B9" w:rsidP="00F834B9">
      <w:pPr>
        <w:tabs>
          <w:tab w:val="left" w:pos="1872"/>
          <w:tab w:val="left" w:pos="5472"/>
          <w:tab w:val="left" w:pos="7200"/>
          <w:tab w:val="left" w:pos="8063"/>
          <w:tab w:val="left" w:pos="9216"/>
          <w:tab w:val="left" w:pos="10368"/>
        </w:tabs>
        <w:spacing w:after="60" w:line="360" w:lineRule="auto"/>
        <w:outlineLvl w:val="0"/>
        <w:rPr>
          <w:rFonts w:ascii="David" w:hAnsi="David" w:cs="David"/>
          <w:b/>
          <w:noProof/>
          <w:sz w:val="24"/>
          <w:szCs w:val="24"/>
          <w:rtl/>
          <w:lang w:eastAsia="he-IL"/>
        </w:rPr>
      </w:pPr>
      <w:r w:rsidRPr="00F834B9">
        <w:rPr>
          <w:rFonts w:ascii="David" w:hAnsi="David" w:cs="David"/>
          <w:b/>
          <w:noProof/>
          <w:sz w:val="24"/>
          <w:szCs w:val="24"/>
          <w:rtl/>
          <w:lang w:eastAsia="he-IL"/>
        </w:rPr>
        <w:t>1</w:t>
      </w:r>
      <w:r w:rsidR="004B0758">
        <w:rPr>
          <w:rFonts w:ascii="David" w:hAnsi="David" w:cs="David" w:hint="cs"/>
          <w:b/>
          <w:noProof/>
          <w:sz w:val="24"/>
          <w:szCs w:val="24"/>
          <w:rtl/>
          <w:lang w:eastAsia="he-IL"/>
        </w:rPr>
        <w:t>5</w:t>
      </w:r>
      <w:r w:rsidRPr="00F834B9">
        <w:rPr>
          <w:rFonts w:ascii="David" w:hAnsi="David" w:cs="David"/>
          <w:b/>
          <w:noProof/>
          <w:sz w:val="24"/>
          <w:szCs w:val="24"/>
          <w:rtl/>
          <w:lang w:eastAsia="he-IL"/>
        </w:rPr>
        <w:t>. " שימוש בלעז להדגמה דקדוקית בפירוש רש"י למקרא", מסורות יח (תשע"ו), עמ' 45 - 57</w:t>
      </w:r>
    </w:p>
    <w:p w14:paraId="791E3036" w14:textId="6A095E07" w:rsidR="00F834B9" w:rsidRPr="00F834B9" w:rsidRDefault="00F834B9" w:rsidP="00F834B9">
      <w:pPr>
        <w:tabs>
          <w:tab w:val="left" w:pos="1872"/>
          <w:tab w:val="left" w:pos="5472"/>
          <w:tab w:val="left" w:pos="7200"/>
          <w:tab w:val="left" w:pos="8063"/>
          <w:tab w:val="left" w:pos="9216"/>
          <w:tab w:val="left" w:pos="10368"/>
        </w:tabs>
        <w:spacing w:after="60" w:line="360" w:lineRule="auto"/>
        <w:outlineLvl w:val="0"/>
        <w:rPr>
          <w:rFonts w:ascii="David" w:hAnsi="David" w:cs="David"/>
          <w:b/>
          <w:noProof/>
          <w:sz w:val="24"/>
          <w:szCs w:val="24"/>
          <w:rtl/>
          <w:lang w:eastAsia="he-IL"/>
        </w:rPr>
      </w:pPr>
      <w:r w:rsidRPr="00F834B9">
        <w:rPr>
          <w:rFonts w:ascii="David" w:hAnsi="David" w:cs="David"/>
          <w:b/>
          <w:noProof/>
          <w:sz w:val="24"/>
          <w:szCs w:val="24"/>
          <w:rtl/>
          <w:lang w:eastAsia="he-IL"/>
        </w:rPr>
        <w:t>1</w:t>
      </w:r>
      <w:r w:rsidR="004B0758">
        <w:rPr>
          <w:rFonts w:ascii="David" w:hAnsi="David" w:cs="David" w:hint="cs"/>
          <w:b/>
          <w:noProof/>
          <w:sz w:val="24"/>
          <w:szCs w:val="24"/>
          <w:rtl/>
          <w:lang w:eastAsia="he-IL"/>
        </w:rPr>
        <w:t>6</w:t>
      </w:r>
      <w:r w:rsidRPr="00F834B9">
        <w:rPr>
          <w:rFonts w:ascii="David" w:hAnsi="David" w:cs="David"/>
          <w:b/>
          <w:noProof/>
          <w:sz w:val="24"/>
          <w:szCs w:val="24"/>
          <w:rtl/>
          <w:lang w:eastAsia="he-IL"/>
        </w:rPr>
        <w:t>. " לדרך ההגדרה המילונית בימי הביניים – מנחם בן סרוק ורש"י", מחקרים בלשון יז-יח (תשע"ז), עמ' 221 – 236</w:t>
      </w:r>
    </w:p>
    <w:p w14:paraId="162C8BCB" w14:textId="44FE6799" w:rsidR="00F834B9" w:rsidRPr="00F834B9" w:rsidRDefault="004B0758" w:rsidP="00F834B9">
      <w:pPr>
        <w:tabs>
          <w:tab w:val="left" w:pos="1872"/>
          <w:tab w:val="left" w:pos="5472"/>
          <w:tab w:val="left" w:pos="7200"/>
          <w:tab w:val="left" w:pos="8063"/>
          <w:tab w:val="left" w:pos="9216"/>
          <w:tab w:val="left" w:pos="10368"/>
        </w:tabs>
        <w:spacing w:after="60" w:line="360" w:lineRule="auto"/>
        <w:outlineLvl w:val="0"/>
        <w:rPr>
          <w:rFonts w:ascii="David" w:hAnsi="David" w:cs="David"/>
          <w:b/>
          <w:noProof/>
          <w:sz w:val="24"/>
          <w:szCs w:val="24"/>
          <w:rtl/>
          <w:lang w:eastAsia="he-IL"/>
        </w:rPr>
      </w:pPr>
      <w:r>
        <w:rPr>
          <w:rFonts w:ascii="David" w:hAnsi="David" w:cs="David" w:hint="cs"/>
          <w:b/>
          <w:noProof/>
          <w:sz w:val="24"/>
          <w:szCs w:val="24"/>
          <w:rtl/>
          <w:lang w:eastAsia="he-IL"/>
        </w:rPr>
        <w:t>17</w:t>
      </w:r>
      <w:bookmarkStart w:id="0" w:name="_GoBack"/>
      <w:bookmarkEnd w:id="0"/>
      <w:r w:rsidR="00F834B9" w:rsidRPr="00F834B9">
        <w:rPr>
          <w:rFonts w:ascii="David" w:hAnsi="David" w:cs="David"/>
          <w:b/>
          <w:noProof/>
          <w:sz w:val="24"/>
          <w:szCs w:val="24"/>
          <w:rtl/>
          <w:lang w:eastAsia="he-IL"/>
        </w:rPr>
        <w:t>. "תרגום כניסיון להכוונת לשון: עיון בתרגומו של הרב קאפח לפירוש המשנה", לשוננו פ (תשע"ח), עמ' 80 - 95</w:t>
      </w:r>
    </w:p>
    <w:p w14:paraId="45FBAE1B" w14:textId="77777777" w:rsidR="00F834B9" w:rsidRPr="00F834B9" w:rsidRDefault="00F834B9" w:rsidP="00F834B9">
      <w:pPr>
        <w:tabs>
          <w:tab w:val="left" w:pos="1872"/>
          <w:tab w:val="left" w:pos="5472"/>
          <w:tab w:val="left" w:pos="7200"/>
          <w:tab w:val="left" w:pos="8063"/>
          <w:tab w:val="left" w:pos="9216"/>
          <w:tab w:val="left" w:pos="10368"/>
        </w:tabs>
        <w:spacing w:after="60" w:line="36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</w:p>
    <w:p w14:paraId="635326F6" w14:textId="77777777" w:rsidR="00F834B9" w:rsidRPr="00F834B9" w:rsidRDefault="00F834B9" w:rsidP="00F834B9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F834B9" w:rsidRPr="00F834B9" w:rsidSect="00FA47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5718"/>
    <w:multiLevelType w:val="hybridMultilevel"/>
    <w:tmpl w:val="1AA6A79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9"/>
    <w:rsid w:val="004B0758"/>
    <w:rsid w:val="007C5790"/>
    <w:rsid w:val="0099694D"/>
    <w:rsid w:val="00BE518A"/>
    <w:rsid w:val="00F834B9"/>
    <w:rsid w:val="00F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5A91"/>
  <w15:chartTrackingRefBased/>
  <w15:docId w15:val="{BBE7BF92-12EE-4239-BB04-168FB01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4B9"/>
    <w:pPr>
      <w:spacing w:after="0" w:line="480" w:lineRule="auto"/>
      <w:ind w:left="720"/>
      <w:contextualSpacing/>
    </w:pPr>
    <w:rPr>
      <w:rFonts w:ascii="Times New Roman" w:eastAsia="Times New Roman" w:hAnsi="Times New Roman" w:cs="Narkisi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7299FE38F644B8C5822F4D3ABBEBB" ma:contentTypeVersion="4" ma:contentTypeDescription="Create a new document." ma:contentTypeScope="" ma:versionID="3df002fcc3d2ddaa3e82539c5e9218a7">
  <xsd:schema xmlns:xsd="http://www.w3.org/2001/XMLSchema" xmlns:xs="http://www.w3.org/2001/XMLSchema" xmlns:p="http://schemas.microsoft.com/office/2006/metadata/properties" xmlns:ns3="150ff5e3-5000-4590-9067-cf30ce9e7518" targetNamespace="http://schemas.microsoft.com/office/2006/metadata/properties" ma:root="true" ma:fieldsID="ce3a4a655a64acd5212b9d86527f0b0a" ns3:_="">
    <xsd:import namespace="150ff5e3-5000-4590-9067-cf30ce9e75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ff5e3-5000-4590-9067-cf30ce9e7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BC619-6EF4-4684-954A-9AD07E0EA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4FC5F-BEEC-4F70-B94A-2F61D71CE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3E7E1-6E7B-450D-8304-3A7449558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ff5e3-5000-4590-9067-cf30ce9e7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chanoch gamliel</dc:creator>
  <cp:keywords/>
  <dc:description/>
  <cp:lastModifiedBy>chanoch gamliel</cp:lastModifiedBy>
  <cp:revision>4</cp:revision>
  <dcterms:created xsi:type="dcterms:W3CDTF">2019-10-28T11:56:00Z</dcterms:created>
  <dcterms:modified xsi:type="dcterms:W3CDTF">2019-10-28T12:02:00Z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0x010100A987299FE38F644B8C5822F4D3ABBEBB</vt:lpwstr>
  </property>
</Properties>
</file>