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2F" w:rsidRDefault="000B172F" w:rsidP="000B172F">
      <w:pPr>
        <w:bidi w:val="0"/>
        <w:jc w:val="both"/>
        <w:rPr>
          <w:rFonts w:asciiTheme="majorBidi" w:hAnsiTheme="majorBidi" w:cstheme="majorBidi"/>
          <w:b/>
          <w:bCs/>
          <w:sz w:val="48"/>
          <w:szCs w:val="48"/>
        </w:rPr>
      </w:pPr>
    </w:p>
    <w:p w:rsidR="000B172F" w:rsidRPr="000E2425" w:rsidRDefault="000B172F" w:rsidP="000B172F">
      <w:pPr>
        <w:bidi w:val="0"/>
        <w:jc w:val="both"/>
        <w:rPr>
          <w:rFonts w:asciiTheme="majorBidi" w:hAnsiTheme="majorBidi" w:cstheme="majorBidi"/>
          <w:sz w:val="48"/>
          <w:szCs w:val="48"/>
          <w:rtl/>
        </w:rPr>
      </w:pPr>
      <w:r w:rsidRPr="000E2425">
        <w:rPr>
          <w:rFonts w:asciiTheme="majorBidi" w:hAnsiTheme="majorBidi" w:cstheme="majorBidi"/>
          <w:b/>
          <w:bCs/>
          <w:sz w:val="48"/>
          <w:szCs w:val="48"/>
        </w:rPr>
        <w:t>Designing Amplified Electrical and Optical Sensors, Controlling Interfacial Charge Transfer, and Performing Reversible Mechanical Motion using</w:t>
      </w:r>
      <w:r>
        <w:rPr>
          <w:rFonts w:asciiTheme="majorBidi" w:hAnsiTheme="majorBidi" w:cstheme="majorBidi"/>
          <w:b/>
          <w:bCs/>
          <w:sz w:val="48"/>
          <w:szCs w:val="48"/>
        </w:rPr>
        <w:t xml:space="preserve"> </w:t>
      </w:r>
      <w:r w:rsidRPr="00671CE5">
        <w:rPr>
          <w:rFonts w:asciiTheme="majorBidi" w:hAnsiTheme="majorBidi" w:cstheme="majorBidi"/>
          <w:b/>
          <w:bCs/>
          <w:color w:val="FFFFFF" w:themeColor="background1"/>
          <w:sz w:val="48"/>
          <w:szCs w:val="48"/>
        </w:rPr>
        <w:t>///////////</w:t>
      </w:r>
      <w:r w:rsidRPr="000E2425">
        <w:rPr>
          <w:rFonts w:asciiTheme="majorBidi" w:hAnsiTheme="majorBidi" w:cstheme="majorBidi"/>
          <w:b/>
          <w:bCs/>
          <w:sz w:val="48"/>
          <w:szCs w:val="48"/>
        </w:rPr>
        <w:t>Functional Nucleic Acids</w:t>
      </w:r>
      <w:r w:rsidRPr="00F7686C">
        <w:rPr>
          <w:rFonts w:asciiTheme="majorBidi" w:hAnsiTheme="majorBidi" w:cstheme="majorBidi"/>
          <w:b/>
          <w:bCs/>
          <w:color w:val="FFFFFF" w:themeColor="background1"/>
          <w:sz w:val="48"/>
          <w:szCs w:val="48"/>
        </w:rPr>
        <w:t>////////////</w:t>
      </w:r>
    </w:p>
    <w:p w:rsidR="000B172F" w:rsidRDefault="000B172F" w:rsidP="000B172F">
      <w:pPr>
        <w:bidi w:val="0"/>
        <w:jc w:val="center"/>
        <w:rPr>
          <w:rFonts w:asciiTheme="majorBidi" w:hAnsiTheme="majorBidi" w:cstheme="majorBidi"/>
          <w:sz w:val="40"/>
          <w:szCs w:val="40"/>
          <w:rtl/>
        </w:rPr>
      </w:pPr>
    </w:p>
    <w:p w:rsidR="000B172F" w:rsidRDefault="000B172F" w:rsidP="000B172F">
      <w:pPr>
        <w:bidi w:val="0"/>
        <w:jc w:val="center"/>
        <w:rPr>
          <w:rFonts w:asciiTheme="majorBidi" w:hAnsiTheme="majorBidi" w:cstheme="majorBidi"/>
          <w:sz w:val="40"/>
          <w:szCs w:val="40"/>
          <w:rtl/>
        </w:rPr>
      </w:pPr>
    </w:p>
    <w:p w:rsidR="000B172F" w:rsidRDefault="000B172F" w:rsidP="000B172F">
      <w:pPr>
        <w:bidi w:val="0"/>
        <w:jc w:val="center"/>
        <w:rPr>
          <w:rFonts w:asciiTheme="majorBidi" w:hAnsiTheme="majorBidi" w:cstheme="majorBidi"/>
          <w:sz w:val="40"/>
          <w:szCs w:val="40"/>
        </w:rPr>
      </w:pPr>
    </w:p>
    <w:p w:rsidR="000B172F" w:rsidRDefault="000B172F" w:rsidP="000B172F">
      <w:pPr>
        <w:bidi w:val="0"/>
        <w:jc w:val="center"/>
        <w:rPr>
          <w:rFonts w:asciiTheme="majorBidi" w:hAnsiTheme="majorBidi" w:cstheme="majorBidi"/>
          <w:sz w:val="40"/>
          <w:szCs w:val="40"/>
        </w:rPr>
      </w:pPr>
      <w:r>
        <w:rPr>
          <w:rFonts w:asciiTheme="majorBidi" w:hAnsiTheme="majorBidi" w:cstheme="majorBidi"/>
          <w:sz w:val="40"/>
          <w:szCs w:val="40"/>
        </w:rPr>
        <w:t>Thesis submitted for the degree of</w:t>
      </w:r>
    </w:p>
    <w:p w:rsidR="000B172F" w:rsidRDefault="000B172F" w:rsidP="000B172F">
      <w:pPr>
        <w:bidi w:val="0"/>
        <w:jc w:val="center"/>
        <w:rPr>
          <w:rFonts w:asciiTheme="majorBidi" w:hAnsiTheme="majorBidi" w:cstheme="majorBidi"/>
          <w:sz w:val="40"/>
          <w:szCs w:val="40"/>
        </w:rPr>
      </w:pPr>
      <w:r>
        <w:rPr>
          <w:rFonts w:asciiTheme="majorBidi" w:hAnsiTheme="majorBidi" w:cstheme="majorBidi"/>
          <w:sz w:val="40"/>
          <w:szCs w:val="40"/>
        </w:rPr>
        <w:t>“Doctor of Philosophy”</w:t>
      </w:r>
    </w:p>
    <w:p w:rsidR="000B172F" w:rsidRDefault="000B172F" w:rsidP="000B172F">
      <w:pPr>
        <w:bidi w:val="0"/>
        <w:jc w:val="center"/>
        <w:rPr>
          <w:rFonts w:asciiTheme="majorBidi" w:hAnsiTheme="majorBidi" w:cstheme="majorBidi"/>
          <w:sz w:val="40"/>
          <w:szCs w:val="40"/>
        </w:rPr>
      </w:pPr>
      <w:r>
        <w:rPr>
          <w:rFonts w:asciiTheme="majorBidi" w:hAnsiTheme="majorBidi" w:cstheme="majorBidi"/>
          <w:sz w:val="40"/>
          <w:szCs w:val="40"/>
        </w:rPr>
        <w:t>By Gilad Pelossof</w:t>
      </w:r>
    </w:p>
    <w:p w:rsidR="000B172F" w:rsidRDefault="000B172F" w:rsidP="000B172F">
      <w:pPr>
        <w:bidi w:val="0"/>
        <w:jc w:val="center"/>
        <w:rPr>
          <w:rFonts w:asciiTheme="majorBidi" w:hAnsiTheme="majorBidi" w:cstheme="majorBidi"/>
          <w:sz w:val="40"/>
          <w:szCs w:val="40"/>
          <w:rtl/>
        </w:rPr>
      </w:pPr>
    </w:p>
    <w:p w:rsidR="000B172F" w:rsidRDefault="000B172F" w:rsidP="000B172F">
      <w:pPr>
        <w:bidi w:val="0"/>
        <w:jc w:val="center"/>
        <w:rPr>
          <w:rFonts w:asciiTheme="majorBidi" w:hAnsiTheme="majorBidi" w:cstheme="majorBidi"/>
          <w:sz w:val="40"/>
          <w:szCs w:val="40"/>
        </w:rPr>
      </w:pPr>
      <w:r>
        <w:rPr>
          <w:noProof/>
        </w:rPr>
        <w:drawing>
          <wp:inline distT="0" distB="0" distL="0" distR="0" wp14:anchorId="616FD4BC" wp14:editId="1A4118AD">
            <wp:extent cx="1427294" cy="1555750"/>
            <wp:effectExtent l="0" t="0" r="0" b="0"/>
            <wp:docPr id="71" name="תמונה 71" descr="Hebrew University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brew University Logo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294" cy="1555750"/>
                    </a:xfrm>
                    <a:prstGeom prst="rect">
                      <a:avLst/>
                    </a:prstGeom>
                    <a:noFill/>
                    <a:ln>
                      <a:noFill/>
                    </a:ln>
                  </pic:spPr>
                </pic:pic>
              </a:graphicData>
            </a:graphic>
          </wp:inline>
        </w:drawing>
      </w:r>
    </w:p>
    <w:p w:rsidR="000B172F" w:rsidRDefault="000B172F" w:rsidP="000B172F">
      <w:pPr>
        <w:bidi w:val="0"/>
        <w:jc w:val="center"/>
        <w:rPr>
          <w:rFonts w:asciiTheme="majorBidi" w:hAnsiTheme="majorBidi" w:cstheme="majorBidi"/>
          <w:sz w:val="40"/>
          <w:szCs w:val="40"/>
        </w:rPr>
      </w:pPr>
    </w:p>
    <w:p w:rsidR="000B172F" w:rsidRDefault="000B172F" w:rsidP="000B172F">
      <w:pPr>
        <w:bidi w:val="0"/>
        <w:jc w:val="center"/>
        <w:rPr>
          <w:rFonts w:asciiTheme="majorBidi" w:hAnsiTheme="majorBidi" w:cstheme="majorBidi"/>
          <w:sz w:val="36"/>
          <w:szCs w:val="36"/>
        </w:rPr>
      </w:pPr>
      <w:r w:rsidRPr="0062692B">
        <w:rPr>
          <w:rFonts w:asciiTheme="majorBidi" w:hAnsiTheme="majorBidi" w:cstheme="majorBidi"/>
          <w:sz w:val="36"/>
          <w:szCs w:val="36"/>
        </w:rPr>
        <w:t xml:space="preserve">Submitted to the Senate of the </w:t>
      </w:r>
    </w:p>
    <w:p w:rsidR="000B172F" w:rsidRPr="000E2425" w:rsidRDefault="000B172F" w:rsidP="000B172F">
      <w:pPr>
        <w:bidi w:val="0"/>
        <w:jc w:val="center"/>
        <w:rPr>
          <w:rFonts w:asciiTheme="majorBidi" w:hAnsiTheme="majorBidi" w:cstheme="majorBidi"/>
          <w:sz w:val="36"/>
          <w:szCs w:val="36"/>
          <w:rtl/>
        </w:rPr>
      </w:pPr>
      <w:r w:rsidRPr="0062692B">
        <w:rPr>
          <w:rFonts w:asciiTheme="majorBidi" w:hAnsiTheme="majorBidi" w:cstheme="majorBidi"/>
          <w:sz w:val="36"/>
          <w:szCs w:val="36"/>
        </w:rPr>
        <w:t>Hebrew University of Jerusalem</w:t>
      </w:r>
      <w:r>
        <w:rPr>
          <w:rFonts w:asciiTheme="majorBidi" w:hAnsiTheme="majorBidi" w:cstheme="majorBidi"/>
          <w:sz w:val="36"/>
          <w:szCs w:val="36"/>
        </w:rPr>
        <w:t xml:space="preserve"> </w:t>
      </w:r>
      <w:r w:rsidRPr="00AB441C">
        <w:rPr>
          <w:rFonts w:asciiTheme="majorBidi" w:hAnsiTheme="majorBidi" w:cstheme="majorBidi"/>
          <w:sz w:val="36"/>
          <w:szCs w:val="36"/>
        </w:rPr>
        <w:t>September</w:t>
      </w:r>
      <w:r w:rsidRPr="0062692B">
        <w:rPr>
          <w:rFonts w:asciiTheme="majorBidi" w:hAnsiTheme="majorBidi" w:cstheme="majorBidi"/>
          <w:sz w:val="36"/>
          <w:szCs w:val="36"/>
        </w:rPr>
        <w:t xml:space="preserve"> 2014</w:t>
      </w:r>
    </w:p>
    <w:p w:rsidR="000B172F" w:rsidRDefault="000B172F" w:rsidP="000B172F">
      <w:pPr>
        <w:bidi w:val="0"/>
        <w:jc w:val="center"/>
        <w:rPr>
          <w:rFonts w:asciiTheme="majorBidi" w:hAnsiTheme="majorBidi" w:cstheme="majorBidi"/>
          <w:sz w:val="32"/>
          <w:szCs w:val="32"/>
        </w:rPr>
      </w:pPr>
      <w:r>
        <w:rPr>
          <w:rFonts w:asciiTheme="majorBidi" w:hAnsiTheme="majorBidi" w:cstheme="majorBidi"/>
          <w:sz w:val="40"/>
          <w:szCs w:val="40"/>
        </w:rPr>
        <w:lastRenderedPageBreak/>
        <w:br/>
      </w:r>
    </w:p>
    <w:p w:rsidR="000B172F" w:rsidRDefault="000B172F" w:rsidP="000B172F">
      <w:pPr>
        <w:bidi w:val="0"/>
        <w:jc w:val="center"/>
        <w:rPr>
          <w:rFonts w:asciiTheme="majorBidi" w:hAnsiTheme="majorBidi" w:cstheme="majorBidi"/>
          <w:sz w:val="32"/>
          <w:szCs w:val="32"/>
        </w:rPr>
      </w:pPr>
    </w:p>
    <w:p w:rsidR="000B172F" w:rsidRDefault="000B172F" w:rsidP="000B172F">
      <w:pPr>
        <w:bidi w:val="0"/>
        <w:jc w:val="center"/>
        <w:rPr>
          <w:rFonts w:asciiTheme="majorBidi" w:hAnsiTheme="majorBidi" w:cstheme="majorBidi"/>
          <w:sz w:val="32"/>
          <w:szCs w:val="32"/>
        </w:rPr>
      </w:pPr>
    </w:p>
    <w:p w:rsidR="000B172F" w:rsidRDefault="000B172F" w:rsidP="000B172F">
      <w:pPr>
        <w:bidi w:val="0"/>
        <w:jc w:val="center"/>
        <w:rPr>
          <w:rFonts w:asciiTheme="majorBidi" w:hAnsiTheme="majorBidi" w:cstheme="majorBidi"/>
          <w:sz w:val="32"/>
          <w:szCs w:val="32"/>
        </w:rPr>
      </w:pPr>
    </w:p>
    <w:p w:rsidR="000B172F" w:rsidRDefault="000B172F" w:rsidP="000B172F">
      <w:pPr>
        <w:bidi w:val="0"/>
        <w:jc w:val="center"/>
        <w:rPr>
          <w:rFonts w:asciiTheme="majorBidi" w:hAnsiTheme="majorBidi" w:cstheme="majorBidi"/>
          <w:sz w:val="32"/>
          <w:szCs w:val="32"/>
        </w:rPr>
      </w:pPr>
    </w:p>
    <w:p w:rsidR="000B172F" w:rsidRDefault="000B172F" w:rsidP="000B172F">
      <w:pPr>
        <w:bidi w:val="0"/>
        <w:jc w:val="center"/>
        <w:rPr>
          <w:rFonts w:asciiTheme="majorBidi" w:hAnsiTheme="majorBidi" w:cstheme="majorBidi"/>
          <w:sz w:val="32"/>
          <w:szCs w:val="32"/>
        </w:rPr>
      </w:pPr>
    </w:p>
    <w:p w:rsidR="000B172F" w:rsidRDefault="000B172F" w:rsidP="000B172F">
      <w:pPr>
        <w:bidi w:val="0"/>
        <w:jc w:val="center"/>
        <w:rPr>
          <w:rFonts w:asciiTheme="majorBidi" w:hAnsiTheme="majorBidi" w:cstheme="majorBidi"/>
          <w:sz w:val="32"/>
          <w:szCs w:val="32"/>
        </w:rPr>
      </w:pPr>
    </w:p>
    <w:p w:rsidR="000B172F" w:rsidRPr="00384D39" w:rsidRDefault="000B172F" w:rsidP="000B172F">
      <w:pPr>
        <w:bidi w:val="0"/>
        <w:jc w:val="center"/>
        <w:rPr>
          <w:rFonts w:asciiTheme="majorBidi" w:hAnsiTheme="majorBidi" w:cstheme="majorBidi"/>
          <w:sz w:val="32"/>
          <w:szCs w:val="32"/>
        </w:rPr>
      </w:pPr>
      <w:r w:rsidRPr="00384D39">
        <w:rPr>
          <w:rFonts w:asciiTheme="majorBidi" w:hAnsiTheme="majorBidi" w:cstheme="majorBidi"/>
          <w:sz w:val="32"/>
          <w:szCs w:val="32"/>
        </w:rPr>
        <w:t>This work was carried out under the supervision of</w:t>
      </w:r>
    </w:p>
    <w:p w:rsidR="000B172F" w:rsidRDefault="000B172F" w:rsidP="000B172F">
      <w:pPr>
        <w:bidi w:val="0"/>
        <w:jc w:val="center"/>
        <w:rPr>
          <w:rFonts w:asciiTheme="majorBidi" w:hAnsiTheme="majorBidi" w:cstheme="majorBidi"/>
          <w:sz w:val="40"/>
          <w:szCs w:val="40"/>
        </w:rPr>
      </w:pPr>
      <w:r w:rsidRPr="00384D39">
        <w:rPr>
          <w:rFonts w:asciiTheme="majorBidi" w:hAnsiTheme="majorBidi" w:cstheme="majorBidi"/>
          <w:sz w:val="32"/>
          <w:szCs w:val="32"/>
        </w:rPr>
        <w:t>Professor Itamar Willner</w:t>
      </w:r>
    </w:p>
    <w:p w:rsidR="000B172F" w:rsidRDefault="000B172F" w:rsidP="000B172F">
      <w:pPr>
        <w:bidi w:val="0"/>
        <w:rPr>
          <w:rFonts w:asciiTheme="majorBidi" w:hAnsiTheme="majorBidi" w:cstheme="majorBidi"/>
          <w:sz w:val="40"/>
          <w:szCs w:val="40"/>
        </w:rPr>
      </w:pPr>
      <w:r>
        <w:rPr>
          <w:rFonts w:asciiTheme="majorBidi" w:hAnsiTheme="majorBidi" w:cstheme="majorBidi"/>
          <w:sz w:val="40"/>
          <w:szCs w:val="40"/>
        </w:rPr>
        <w:br w:type="page"/>
      </w:r>
    </w:p>
    <w:p w:rsidR="000B172F" w:rsidRDefault="000B172F" w:rsidP="000B172F">
      <w:pPr>
        <w:bidi w:val="0"/>
        <w:jc w:val="center"/>
        <w:rPr>
          <w:rFonts w:asciiTheme="majorBidi" w:hAnsiTheme="majorBidi" w:cstheme="majorBidi"/>
          <w:b/>
          <w:bCs/>
          <w:sz w:val="36"/>
          <w:szCs w:val="36"/>
        </w:rPr>
      </w:pPr>
    </w:p>
    <w:p w:rsidR="000B172F" w:rsidRDefault="000B172F" w:rsidP="000B172F">
      <w:pPr>
        <w:bidi w:val="0"/>
        <w:jc w:val="center"/>
        <w:rPr>
          <w:rFonts w:asciiTheme="majorBidi" w:hAnsiTheme="majorBidi" w:cstheme="majorBidi"/>
          <w:b/>
          <w:bCs/>
          <w:sz w:val="36"/>
          <w:szCs w:val="36"/>
        </w:rPr>
      </w:pPr>
    </w:p>
    <w:p w:rsidR="000B172F" w:rsidRDefault="000B172F" w:rsidP="000B172F">
      <w:pPr>
        <w:bidi w:val="0"/>
        <w:jc w:val="center"/>
        <w:rPr>
          <w:rFonts w:asciiTheme="majorBidi" w:hAnsiTheme="majorBidi" w:cstheme="majorBidi"/>
          <w:b/>
          <w:bCs/>
          <w:sz w:val="36"/>
          <w:szCs w:val="36"/>
        </w:rPr>
      </w:pPr>
    </w:p>
    <w:p w:rsidR="000B172F" w:rsidRDefault="000B172F" w:rsidP="000B172F">
      <w:pPr>
        <w:bidi w:val="0"/>
        <w:jc w:val="center"/>
        <w:rPr>
          <w:rFonts w:asciiTheme="majorBidi" w:hAnsiTheme="majorBidi" w:cstheme="majorBidi"/>
          <w:b/>
          <w:bCs/>
          <w:sz w:val="36"/>
          <w:szCs w:val="36"/>
        </w:rPr>
      </w:pPr>
    </w:p>
    <w:p w:rsidR="000B172F" w:rsidRPr="00384D39" w:rsidRDefault="000B172F" w:rsidP="000B172F">
      <w:pPr>
        <w:bidi w:val="0"/>
        <w:jc w:val="center"/>
        <w:rPr>
          <w:rFonts w:asciiTheme="majorBidi" w:hAnsiTheme="majorBidi" w:cstheme="majorBidi"/>
          <w:b/>
          <w:bCs/>
          <w:sz w:val="32"/>
          <w:szCs w:val="32"/>
        </w:rPr>
      </w:pPr>
      <w:r w:rsidRPr="00384D39">
        <w:rPr>
          <w:rFonts w:asciiTheme="majorBidi" w:hAnsiTheme="majorBidi" w:cstheme="majorBidi"/>
          <w:b/>
          <w:bCs/>
          <w:sz w:val="32"/>
          <w:szCs w:val="32"/>
        </w:rPr>
        <w:t>I thank God</w:t>
      </w:r>
    </w:p>
    <w:p w:rsidR="000B172F" w:rsidRPr="00BE4FED" w:rsidRDefault="000B172F" w:rsidP="000B172F">
      <w:pPr>
        <w:bidi w:val="0"/>
        <w:spacing w:before="240" w:line="360" w:lineRule="auto"/>
        <w:jc w:val="both"/>
        <w:rPr>
          <w:rFonts w:asciiTheme="majorBidi" w:hAnsiTheme="majorBidi" w:cstheme="majorBidi"/>
          <w:sz w:val="26"/>
          <w:szCs w:val="26"/>
        </w:rPr>
      </w:pPr>
      <w:proofErr w:type="gramStart"/>
      <w:r w:rsidRPr="00BE4FED">
        <w:rPr>
          <w:rFonts w:asciiTheme="majorBidi" w:hAnsiTheme="majorBidi" w:cstheme="majorBidi"/>
          <w:sz w:val="26"/>
          <w:szCs w:val="26"/>
        </w:rPr>
        <w:t>My heartfelt thanks to Professor Itamar Willner for his exceptional personal guidance.</w:t>
      </w:r>
      <w:proofErr w:type="gramEnd"/>
      <w:r w:rsidRPr="00BE4FED">
        <w:rPr>
          <w:rFonts w:asciiTheme="majorBidi" w:hAnsiTheme="majorBidi" w:cstheme="majorBidi"/>
          <w:sz w:val="26"/>
          <w:szCs w:val="26"/>
        </w:rPr>
        <w:t xml:space="preserve"> I have tried to emulate his enthusiasm for scientific research and I appreciate all his efforts throughout the years. </w:t>
      </w:r>
      <w:r w:rsidRPr="00BE4FED">
        <w:rPr>
          <w:rFonts w:asciiTheme="majorBidi" w:hAnsiTheme="majorBidi" w:cstheme="majorBidi"/>
          <w:color w:val="FFFFFF" w:themeColor="background1"/>
          <w:sz w:val="26"/>
          <w:szCs w:val="26"/>
        </w:rPr>
        <w:t>/////////////</w:t>
      </w:r>
    </w:p>
    <w:p w:rsidR="000B172F" w:rsidRPr="00BE4FED" w:rsidRDefault="000B172F" w:rsidP="000B172F">
      <w:pPr>
        <w:bidi w:val="0"/>
        <w:spacing w:before="240" w:line="360" w:lineRule="auto"/>
        <w:jc w:val="both"/>
        <w:rPr>
          <w:rFonts w:asciiTheme="majorBidi" w:hAnsiTheme="majorBidi" w:cstheme="majorBidi"/>
          <w:sz w:val="26"/>
          <w:szCs w:val="26"/>
        </w:rPr>
      </w:pPr>
      <w:r w:rsidRPr="00BE4FED">
        <w:rPr>
          <w:rFonts w:asciiTheme="majorBidi" w:hAnsiTheme="majorBidi" w:cstheme="majorBidi"/>
          <w:sz w:val="26"/>
          <w:szCs w:val="26"/>
        </w:rPr>
        <w:t>My great gratitude, to Dr. Bilha Willner for her care</w:t>
      </w:r>
      <w:proofErr w:type="gramStart"/>
      <w:r w:rsidRPr="00BE4FED">
        <w:rPr>
          <w:rFonts w:asciiTheme="majorBidi" w:hAnsiTheme="majorBidi" w:cstheme="majorBidi"/>
          <w:sz w:val="26"/>
          <w:szCs w:val="26"/>
        </w:rPr>
        <w:t>,  support</w:t>
      </w:r>
      <w:proofErr w:type="gramEnd"/>
      <w:r w:rsidRPr="00BE4FED">
        <w:rPr>
          <w:rFonts w:asciiTheme="majorBidi" w:hAnsiTheme="majorBidi" w:cstheme="majorBidi"/>
          <w:sz w:val="26"/>
          <w:szCs w:val="26"/>
        </w:rPr>
        <w:t xml:space="preserve"> and concern for my success.</w:t>
      </w:r>
      <w:r w:rsidRPr="00BE4FED">
        <w:rPr>
          <w:rFonts w:asciiTheme="majorBidi" w:hAnsiTheme="majorBidi" w:cstheme="majorBidi"/>
          <w:color w:val="FFFFFF" w:themeColor="background1"/>
          <w:sz w:val="26"/>
          <w:szCs w:val="26"/>
        </w:rPr>
        <w:t>/////</w:t>
      </w:r>
    </w:p>
    <w:p w:rsidR="000B172F" w:rsidRPr="00BE4FED" w:rsidRDefault="000B172F" w:rsidP="000B172F">
      <w:pPr>
        <w:bidi w:val="0"/>
        <w:spacing w:before="240" w:line="360" w:lineRule="auto"/>
        <w:jc w:val="both"/>
        <w:rPr>
          <w:rFonts w:asciiTheme="majorBidi" w:hAnsiTheme="majorBidi" w:cstheme="majorBidi"/>
          <w:sz w:val="26"/>
          <w:szCs w:val="26"/>
        </w:rPr>
      </w:pPr>
      <w:proofErr w:type="gramStart"/>
      <w:r w:rsidRPr="00BE4FED">
        <w:rPr>
          <w:rFonts w:asciiTheme="majorBidi" w:hAnsiTheme="majorBidi" w:cstheme="majorBidi"/>
          <w:sz w:val="26"/>
          <w:szCs w:val="26"/>
        </w:rPr>
        <w:t>My sincere appreciation to Dr. Ran Tel-Vered for his endless support, encouragement dedication and close friendship.</w:t>
      </w:r>
      <w:proofErr w:type="gramEnd"/>
    </w:p>
    <w:p w:rsidR="000B172F" w:rsidRPr="00BE4FED" w:rsidRDefault="000B172F" w:rsidP="000B172F">
      <w:pPr>
        <w:bidi w:val="0"/>
        <w:spacing w:before="240" w:line="360" w:lineRule="auto"/>
        <w:jc w:val="both"/>
        <w:rPr>
          <w:rFonts w:asciiTheme="majorBidi" w:hAnsiTheme="majorBidi" w:cstheme="majorBidi"/>
          <w:color w:val="FFFFFF" w:themeColor="background1"/>
          <w:sz w:val="26"/>
          <w:szCs w:val="26"/>
        </w:rPr>
      </w:pPr>
      <w:r w:rsidRPr="00BE4FED">
        <w:rPr>
          <w:rFonts w:asciiTheme="majorBidi" w:hAnsiTheme="majorBidi" w:cstheme="majorBidi"/>
          <w:sz w:val="26"/>
          <w:szCs w:val="26"/>
        </w:rPr>
        <w:t>To my close friend, Dr. Simcha Shimron, words are not enough to express my gratitude for your help in overcoming difficulties and your collaboration.</w:t>
      </w:r>
      <w:r w:rsidRPr="00BE4FED">
        <w:rPr>
          <w:rFonts w:asciiTheme="majorBidi" w:hAnsiTheme="majorBidi" w:cstheme="majorBidi"/>
          <w:color w:val="FFFFFF" w:themeColor="background1"/>
          <w:sz w:val="26"/>
          <w:szCs w:val="26"/>
        </w:rPr>
        <w:t xml:space="preserve"> //////</w:t>
      </w:r>
    </w:p>
    <w:p w:rsidR="000B172F" w:rsidRPr="00BE4FED" w:rsidRDefault="000B172F" w:rsidP="000B172F">
      <w:pPr>
        <w:bidi w:val="0"/>
        <w:spacing w:before="240" w:line="360" w:lineRule="auto"/>
        <w:jc w:val="both"/>
        <w:rPr>
          <w:rFonts w:asciiTheme="majorBidi" w:hAnsiTheme="majorBidi" w:cstheme="majorBidi"/>
          <w:sz w:val="26"/>
          <w:szCs w:val="26"/>
          <w:rtl/>
        </w:rPr>
      </w:pPr>
      <w:r w:rsidRPr="00BE4FED">
        <w:rPr>
          <w:rFonts w:asciiTheme="majorBidi" w:hAnsiTheme="majorBidi" w:cstheme="majorBidi"/>
          <w:sz w:val="26"/>
          <w:szCs w:val="26"/>
        </w:rPr>
        <w:t xml:space="preserve">A special thanks to my dear family: my parents, my mother in-law, my children and my son in-law and above all to my dear wife for encouraging me, and being this all these years. </w:t>
      </w:r>
      <w:proofErr w:type="gramStart"/>
      <w:r w:rsidRPr="00BE4FED">
        <w:rPr>
          <w:rFonts w:asciiTheme="majorBidi" w:hAnsiTheme="majorBidi" w:cstheme="majorBidi"/>
          <w:sz w:val="26"/>
          <w:szCs w:val="26"/>
        </w:rPr>
        <w:t>thanks</w:t>
      </w:r>
      <w:proofErr w:type="gramEnd"/>
      <w:r w:rsidRPr="00BE4FED">
        <w:rPr>
          <w:rFonts w:asciiTheme="majorBidi" w:hAnsiTheme="majorBidi" w:cstheme="majorBidi"/>
          <w:sz w:val="26"/>
          <w:szCs w:val="26"/>
        </w:rPr>
        <w:t>.</w:t>
      </w:r>
    </w:p>
    <w:p w:rsidR="000B172F" w:rsidRDefault="000B172F" w:rsidP="000B172F">
      <w:pPr>
        <w:bidi w:val="0"/>
        <w:spacing w:before="240"/>
        <w:rPr>
          <w:rFonts w:ascii="Times New Roman" w:eastAsiaTheme="minorEastAsia" w:hAnsi="Times New Roman"/>
          <w:sz w:val="24"/>
          <w:szCs w:val="24"/>
          <w:lang w:bidi="ar-SA"/>
        </w:rPr>
      </w:pPr>
      <w:r>
        <w:br w:type="page"/>
      </w:r>
    </w:p>
    <w:p w:rsidR="000B172F" w:rsidRDefault="000B172F" w:rsidP="000B172F">
      <w:pPr>
        <w:pStyle w:val="Pper"/>
        <w:rPr>
          <w:sz w:val="48"/>
          <w:szCs w:val="48"/>
        </w:rPr>
      </w:pPr>
      <w:r w:rsidRPr="00D878DF">
        <w:rPr>
          <w:sz w:val="48"/>
          <w:szCs w:val="48"/>
        </w:rPr>
        <w:lastRenderedPageBreak/>
        <w:t>Abstract</w:t>
      </w:r>
    </w:p>
    <w:p w:rsidR="000B172F" w:rsidRDefault="000B172F" w:rsidP="000B172F">
      <w:pPr>
        <w:pStyle w:val="Pper"/>
        <w:spacing w:line="360" w:lineRule="auto"/>
        <w:rPr>
          <w:b/>
          <w:bCs/>
          <w:sz w:val="28"/>
          <w:szCs w:val="28"/>
        </w:rPr>
      </w:pPr>
      <w:r w:rsidRPr="00086957">
        <w:rPr>
          <w:b/>
          <w:bCs/>
          <w:sz w:val="28"/>
          <w:szCs w:val="28"/>
        </w:rPr>
        <w:t>Chapter 1-introduction</w:t>
      </w:r>
    </w:p>
    <w:p w:rsidR="000B172F" w:rsidRDefault="000B172F" w:rsidP="000B172F">
      <w:pPr>
        <w:pStyle w:val="Pper"/>
        <w:spacing w:line="360" w:lineRule="auto"/>
      </w:pPr>
      <w:r w:rsidRPr="009300AA">
        <w:t>The information encode</w:t>
      </w:r>
      <w:r>
        <w:t>d</w:t>
      </w:r>
      <w:r w:rsidRPr="009300AA">
        <w:t xml:space="preserve"> in the base sequence of DNA</w:t>
      </w:r>
      <w:r>
        <w:t xml:space="preserve"> provides structural and functional meaning. Structural information includes duplex formation by complementary base pairs</w:t>
      </w:r>
      <w:r w:rsidRPr="00D82FB5">
        <w:rPr>
          <w:rFonts w:asciiTheme="majorBidi" w:hAnsiTheme="majorBidi" w:cstheme="majorBidi"/>
        </w:rPr>
        <w:t>, pH</w:t>
      </w:r>
      <w:r>
        <w:rPr>
          <w:rFonts w:asciiTheme="majorBidi" w:hAnsiTheme="majorBidi" w:cstheme="majorBidi"/>
        </w:rPr>
        <w:t>-stimulated formation of i-motif structures from C-rich sequences</w:t>
      </w:r>
      <w:r w:rsidRPr="00D82FB5">
        <w:rPr>
          <w:rFonts w:asciiTheme="majorBidi" w:hAnsiTheme="majorBidi" w:cstheme="majorBidi"/>
        </w:rPr>
        <w:t>,</w:t>
      </w:r>
      <w:r>
        <w:rPr>
          <w:rFonts w:asciiTheme="majorBidi" w:hAnsiTheme="majorBidi" w:cstheme="majorBidi"/>
        </w:rPr>
        <w:t xml:space="preserve"> K</w:t>
      </w:r>
      <w:r>
        <w:rPr>
          <w:rFonts w:asciiTheme="majorBidi" w:hAnsiTheme="majorBidi" w:cstheme="majorBidi"/>
          <w:vertAlign w:val="superscript"/>
        </w:rPr>
        <w:t>+</w:t>
      </w:r>
      <w:r>
        <w:rPr>
          <w:rFonts w:asciiTheme="majorBidi" w:hAnsiTheme="majorBidi" w:cstheme="majorBidi"/>
        </w:rPr>
        <w:t xml:space="preserve"> ion-induced self-assembly of G-quadruplex nanostructures from G-rich sequences, stabilization of duplexes by specific metal ion bridges, such as T-Hg</w:t>
      </w:r>
      <w:r>
        <w:rPr>
          <w:rFonts w:asciiTheme="majorBidi" w:hAnsiTheme="majorBidi" w:cstheme="majorBidi"/>
          <w:vertAlign w:val="superscript"/>
        </w:rPr>
        <w:t>+</w:t>
      </w:r>
      <w:r>
        <w:rPr>
          <w:rFonts w:asciiTheme="majorBidi" w:hAnsiTheme="majorBidi" w:cstheme="majorBidi"/>
        </w:rPr>
        <w:t>-T or C-Ag</w:t>
      </w:r>
      <w:r>
        <w:rPr>
          <w:rFonts w:asciiTheme="majorBidi" w:hAnsiTheme="majorBidi" w:cstheme="majorBidi"/>
          <w:vertAlign w:val="superscript"/>
        </w:rPr>
        <w:t>+</w:t>
      </w:r>
      <w:r>
        <w:rPr>
          <w:rFonts w:asciiTheme="majorBidi" w:hAnsiTheme="majorBidi" w:cstheme="majorBidi"/>
        </w:rPr>
        <w:t xml:space="preserve">-C, and more. Functional information includes the recognition properties of single stranded DNA (aptamer) forwards low-molecular-weight substrates, macromolecules or even </w:t>
      </w:r>
      <w:r w:rsidRPr="00065C29">
        <w:rPr>
          <w:rFonts w:asciiTheme="majorBidi" w:hAnsiTheme="majorBidi" w:cstheme="majorBidi"/>
        </w:rPr>
        <w:t>live cells.</w:t>
      </w:r>
      <w:r>
        <w:rPr>
          <w:rFonts w:asciiTheme="majorBidi" w:hAnsiTheme="majorBidi" w:cstheme="majorBidi"/>
        </w:rPr>
        <w:t xml:space="preserve"> Sequence specific nucleotide acids exhibit unique catalytic functions (DNAzymes) such as the self-assembled hemin/G-quadruplex, </w:t>
      </w:r>
      <w:r w:rsidRPr="00CF6FD1">
        <w:rPr>
          <w:rFonts w:asciiTheme="majorBidi" w:hAnsiTheme="majorBidi" w:cstheme="majorBidi"/>
        </w:rPr>
        <w:t>horseradish peroxidase</w:t>
      </w:r>
      <w:r>
        <w:rPr>
          <w:rFonts w:asciiTheme="majorBidi" w:hAnsiTheme="majorBidi" w:cstheme="majorBidi"/>
        </w:rPr>
        <w:t>-</w:t>
      </w:r>
      <w:r>
        <w:t xml:space="preserve">mimicking </w:t>
      </w:r>
      <w:r>
        <w:rPr>
          <w:rFonts w:asciiTheme="majorBidi" w:hAnsiTheme="majorBidi" w:cstheme="majorBidi"/>
        </w:rPr>
        <w:t>(HRP)</w:t>
      </w:r>
      <w:r>
        <w:t xml:space="preserve"> DNAzyme, or metal ion-dependent DNAzymes. </w:t>
      </w:r>
    </w:p>
    <w:p w:rsidR="000B172F" w:rsidRPr="007B31F9" w:rsidRDefault="000B172F" w:rsidP="000B172F">
      <w:pPr>
        <w:pStyle w:val="Pper"/>
        <w:spacing w:line="360" w:lineRule="auto"/>
      </w:pPr>
      <w:r>
        <w:t>Biosensor devices are analytical systems that enabled the selection and specific analysis of target analytes. The sensor includes a recognition element for the target analyte and transducing element that reports the recognition events. Different elements, such as enzymes, DNA aptamers and others are used to develop specific biosensors, and different transduction means, such as electrochemical signals, optical signals, magnetic, microgravimetric, and other,</w:t>
      </w:r>
      <w:r w:rsidRPr="007B31F9">
        <w:t xml:space="preserve"> </w:t>
      </w:r>
      <w:r>
        <w:t>are</w:t>
      </w:r>
      <w:r w:rsidRPr="007B31F9">
        <w:t xml:space="preserve"> implemente</w:t>
      </w:r>
      <w:r>
        <w:t>d</w:t>
      </w:r>
      <w:r w:rsidRPr="007B31F9">
        <w:t xml:space="preserve"> to readout the recognition events. </w:t>
      </w:r>
    </w:p>
    <w:p w:rsidR="000B172F" w:rsidRDefault="000B172F" w:rsidP="000B172F">
      <w:pPr>
        <w:pStyle w:val="Pper"/>
        <w:spacing w:line="360" w:lineRule="auto"/>
      </w:pPr>
      <w:r>
        <w:t>The specific recognition properties of nucleic acids towards the complementary strands, the affinity interaction between low-molecular-weight substrates/macromolecules and the respective aptamers, and the specific bridging of duplex DNA structures by means of metal ions e.g. Ag</w:t>
      </w:r>
      <w:r>
        <w:rPr>
          <w:vertAlign w:val="superscript"/>
        </w:rPr>
        <w:t xml:space="preserve">+ </w:t>
      </w:r>
      <w:r>
        <w:t>or Hg</w:t>
      </w:r>
      <w:r>
        <w:rPr>
          <w:vertAlign w:val="superscript"/>
        </w:rPr>
        <w:t>2+</w:t>
      </w:r>
      <w:r>
        <w:t xml:space="preserve">, provide resources to develop a variety of sensor devices.  Indeed, numerous sensing platforms that use nucleic acids as recognition elements for sensing DNA, aptamers or, complexes of metal ions were developed. Electrochemical, optical, microgravimetric, surface plasmon resonance, magnetic and more, were used as readout signals for the recognition events. Examples of different DNA-based sensors are presented. With the development of </w:t>
      </w:r>
      <w:r w:rsidRPr="0064493C">
        <w:t>nanotechnology</w:t>
      </w:r>
      <w:r>
        <w:t xml:space="preserve">, new nano materials exhibiting unique electronic, optical and photo-physical properties emerged. For example, the size-controlled plasmonic properties of metallic </w:t>
      </w:r>
      <w:r w:rsidRPr="00DA7995">
        <w:t xml:space="preserve">nanoparticles </w:t>
      </w:r>
      <w:r>
        <w:t xml:space="preserve">(NPs), or the size-controlled </w:t>
      </w:r>
      <w:r>
        <w:lastRenderedPageBreak/>
        <w:t xml:space="preserve">luminescence features of semiconductor quantum dots (QDs) nanoparticles were extensively used to develop biosensor platforms. Specifically, the aggregation of metallic nanoparticles and the color changes accompanying the transitions upon aggregation and </w:t>
      </w:r>
      <w:r w:rsidRPr="007057A8">
        <w:t>d</w:t>
      </w:r>
      <w:r>
        <w:t>e</w:t>
      </w:r>
      <w:r w:rsidRPr="007057A8">
        <w:t>aggregation</w:t>
      </w:r>
      <w:r>
        <w:t xml:space="preserve"> of the NPs were broadly implemented to develop various sensing platforms. For example, the color changes observed upon aggregation of Au NPs (as a result of </w:t>
      </w:r>
      <w:r w:rsidRPr="00CB7C39">
        <w:t>intraparticle</w:t>
      </w:r>
      <w:r>
        <w:t xml:space="preserve"> plasmon-exciton), or the color changes associated upon the deaggregation of the particles (individual NPs exhibiting localized plasmon) were used to develop numerous sensing platforms.</w:t>
      </w:r>
    </w:p>
    <w:p w:rsidR="000B172F" w:rsidRDefault="000B172F" w:rsidP="000B172F">
      <w:pPr>
        <w:pStyle w:val="Pper"/>
        <w:spacing w:line="360" w:lineRule="auto"/>
      </w:pPr>
      <w:r>
        <w:t xml:space="preserve">One challenge in the development of biosensors and specifically oligonucleotide-based sensors involves the increased sensitivity of the resulting sensors. This is accomplished by the amplified detection of sensing </w:t>
      </w:r>
      <w:r w:rsidRPr="002D15CD">
        <w:t>events</w:t>
      </w:r>
      <w:r>
        <w:t xml:space="preserve"> through the coupling of enzymes or DNAzymes to the recognition event. The catalysts transform single recognition event to numerous readout signals (electrical or optical), thus providing a method to amplify the recognition event. The introduction exemplifies several amplification methods including </w:t>
      </w:r>
      <w:r w:rsidRPr="00156C30">
        <w:t xml:space="preserve">the </w:t>
      </w:r>
      <w:r>
        <w:t>r</w:t>
      </w:r>
      <w:r w:rsidRPr="00156C30">
        <w:t>olling circle amplification</w:t>
      </w:r>
      <w:r>
        <w:t xml:space="preserve"> </w:t>
      </w:r>
      <w:r w:rsidRPr="00156C30">
        <w:t>(RCA)</w:t>
      </w:r>
      <w:r>
        <w:t>,</w:t>
      </w:r>
      <w:r w:rsidRPr="00156C30">
        <w:t xml:space="preserve"> process</w:t>
      </w:r>
      <w:r>
        <w:t>,</w:t>
      </w:r>
      <w:r w:rsidRPr="00156C30">
        <w:t xml:space="preserve"> </w:t>
      </w:r>
      <w:r w:rsidRPr="009C77B5">
        <w:rPr>
          <w:rFonts w:asciiTheme="majorBidi" w:hAnsiTheme="majorBidi" w:cstheme="majorBidi"/>
        </w:rPr>
        <w:t>hybridization chain reaction (HCR)</w:t>
      </w:r>
      <w:r>
        <w:t xml:space="preserve"> and </w:t>
      </w:r>
      <w:r w:rsidRPr="00540B82">
        <w:t>polymerization</w:t>
      </w:r>
      <w:r>
        <w:t>/nic</w:t>
      </w:r>
      <w:r w:rsidRPr="00540B82">
        <w:t>king machinery.</w:t>
      </w:r>
      <w:r>
        <w:t xml:space="preserve"> </w:t>
      </w:r>
    </w:p>
    <w:p w:rsidR="000B172F" w:rsidRDefault="000B172F" w:rsidP="000B172F">
      <w:pPr>
        <w:pStyle w:val="Pper"/>
        <w:spacing w:line="360" w:lineRule="auto"/>
      </w:pPr>
      <w:r>
        <w:t xml:space="preserve">Beyond the use of the structural/functional information encoded in DNA for the development of variety of sensor systems, the encoded information can be used to develop DNA-based devices, such as DNA switches or DNA machines.  A DNA switch is a nucleic acid assembly that can be reversibly reconfigured between two </w:t>
      </w:r>
      <w:r w:rsidRPr="00F217E0">
        <w:t>distinctive</w:t>
      </w:r>
      <w:r>
        <w:t xml:space="preserve"> structures using appropriate inputs and anti-inputs (input=fuel, anti-input=antifuel). Different external stimuli, such as nucleic acid strands, alternating the pH, metal ion/ligand, light, or electrical signals were used as triggers to reversibly switch DNA between </w:t>
      </w:r>
      <w:r w:rsidRPr="00F217E0">
        <w:t>distinctive</w:t>
      </w:r>
      <w:r>
        <w:t xml:space="preserve"> states in solution and on surfaces.  DNA machines represent a higher hierarchical level of mechanically triggered nucleic acid assemblies. The DNA machines perform cyclic mechanical functions between two or more states using appropriate fuel and antifuel. </w:t>
      </w:r>
      <w:r>
        <w:rPr>
          <w:rFonts w:asciiTheme="majorBidi" w:hAnsiTheme="majorBidi" w:cstheme="majorBidi"/>
        </w:rPr>
        <w:t>Numerous</w:t>
      </w:r>
      <w:r>
        <w:t xml:space="preserve"> DNA machines, such as </w:t>
      </w:r>
      <w:r w:rsidRPr="00D53074">
        <w:t>cranes,</w:t>
      </w:r>
      <w:r>
        <w:t xml:space="preserve"> </w:t>
      </w:r>
      <w:r w:rsidRPr="00D53074">
        <w:t>tweezers, walkers, rotor</w:t>
      </w:r>
      <w:r>
        <w:t>s</w:t>
      </w:r>
      <w:r w:rsidRPr="00D53074">
        <w:t xml:space="preserve">, </w:t>
      </w:r>
      <w:r>
        <w:t>gears and more were reported using different triggers, such as strands, alternate pH values, metal ions/ligands, or light. The introduction exemplifies the concept of DNA machines while discussing the operation of DNA tweezers, the light-induced activation of a DNA walker, the controlled operation of a rotor, and the operation of a bipedal walker.</w:t>
      </w:r>
    </w:p>
    <w:p w:rsidR="000B172F" w:rsidRDefault="000B172F" w:rsidP="000B172F">
      <w:pPr>
        <w:pStyle w:val="Pper"/>
        <w:spacing w:line="360" w:lineRule="auto"/>
      </w:pPr>
      <w:r>
        <w:t xml:space="preserve">As the thesis involves the assembly of many DNA-based sensor systems on electrodes or metallic NPs, and the assembly of DNA machines on surfaces, the chemical </w:t>
      </w:r>
      <w:r>
        <w:lastRenderedPageBreak/>
        <w:t xml:space="preserve">modification of surfaces with nucleic acids, and the </w:t>
      </w:r>
      <w:r w:rsidRPr="00C45805">
        <w:t>characterization</w:t>
      </w:r>
      <w:r>
        <w:t xml:space="preserve"> of the resulting monolayer-modified surfaces are essential parts of the thesis. The introduction </w:t>
      </w:r>
      <w:r w:rsidRPr="00BA68F6">
        <w:t>summarizes the mechanism</w:t>
      </w:r>
      <w:r>
        <w:t xml:space="preserve"> of se</w:t>
      </w:r>
      <w:r w:rsidRPr="00BA68F6">
        <w:t xml:space="preserve">lf-assembly </w:t>
      </w:r>
      <w:r>
        <w:t xml:space="preserve">of </w:t>
      </w:r>
      <w:r w:rsidRPr="00BA68F6">
        <w:t xml:space="preserve">nucleic acids on </w:t>
      </w:r>
      <w:r>
        <w:t xml:space="preserve">Au </w:t>
      </w:r>
      <w:r w:rsidRPr="00BA68F6">
        <w:t>surfaces</w:t>
      </w:r>
      <w:r>
        <w:t>,</w:t>
      </w:r>
      <w:r w:rsidRPr="00A540ED">
        <w:t xml:space="preserve"> or</w:t>
      </w:r>
      <w:r>
        <w:t xml:space="preserve"> on Au NPs or semiconductor QDs, and discusses the different spectroscopic, electrochemical, optical and </w:t>
      </w:r>
      <w:r w:rsidRPr="000B69C1">
        <w:t>micro</w:t>
      </w:r>
      <w:r>
        <w:t>sco</w:t>
      </w:r>
      <w:r w:rsidRPr="000B69C1">
        <w:t xml:space="preserve">pic characterization </w:t>
      </w:r>
      <w:r w:rsidRPr="00FE04B6">
        <w:t>of the resulting monolayers</w:t>
      </w:r>
      <w:r>
        <w:t xml:space="preserve">. Specifically, surface plasmon resonance spectroscopy (SPR) </w:t>
      </w:r>
      <w:r w:rsidRPr="008A1D86">
        <w:t xml:space="preserve">and faradaic impedance spectroscopy </w:t>
      </w:r>
      <w:r>
        <w:t xml:space="preserve">(FIS) are used </w:t>
      </w:r>
      <w:proofErr w:type="gramStart"/>
      <w:r>
        <w:t>to,</w:t>
      </w:r>
      <w:proofErr w:type="gramEnd"/>
      <w:r>
        <w:t xml:space="preserve"> </w:t>
      </w:r>
      <w:r w:rsidRPr="008A1D86">
        <w:t>characterize</w:t>
      </w:r>
      <w:r>
        <w:t xml:space="preserve"> the formation of monolayer-modified </w:t>
      </w:r>
      <w:r w:rsidRPr="0032152E">
        <w:t>surfaces</w:t>
      </w:r>
      <w:r>
        <w:t xml:space="preserve">, in addition to following the dynamic transitions of the DNA </w:t>
      </w:r>
      <w:r w:rsidRPr="002C103D">
        <w:t xml:space="preserve">components </w:t>
      </w:r>
      <w:r>
        <w:t>on the surfaces.</w:t>
      </w:r>
    </w:p>
    <w:p w:rsidR="000B172F" w:rsidRDefault="000B172F" w:rsidP="000B172F">
      <w:pPr>
        <w:pStyle w:val="Pper"/>
        <w:spacing w:line="360" w:lineRule="auto"/>
        <w:rPr>
          <w:b/>
          <w:bCs/>
          <w:sz w:val="32"/>
          <w:szCs w:val="32"/>
        </w:rPr>
      </w:pPr>
    </w:p>
    <w:p w:rsidR="000B172F" w:rsidRPr="007A6809" w:rsidRDefault="000B172F" w:rsidP="000B172F">
      <w:pPr>
        <w:pStyle w:val="Pper"/>
        <w:spacing w:line="360" w:lineRule="auto"/>
        <w:rPr>
          <w:rFonts w:asciiTheme="majorBidi" w:eastAsiaTheme="minorHAnsi" w:hAnsiTheme="majorBidi"/>
          <w:b/>
          <w:bCs/>
          <w:caps/>
          <w:sz w:val="32"/>
          <w:szCs w:val="32"/>
          <w:lang w:bidi="he-IL"/>
        </w:rPr>
      </w:pPr>
      <w:r w:rsidRPr="007A6809">
        <w:rPr>
          <w:b/>
          <w:bCs/>
          <w:sz w:val="28"/>
          <w:szCs w:val="28"/>
        </w:rPr>
        <w:t>Research goal</w:t>
      </w:r>
      <w:r>
        <w:rPr>
          <w:b/>
          <w:bCs/>
          <w:sz w:val="28"/>
          <w:szCs w:val="28"/>
        </w:rPr>
        <w:t>s</w:t>
      </w:r>
    </w:p>
    <w:p w:rsidR="000B172F" w:rsidRPr="00B73FDB"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The research focuse</w:t>
      </w:r>
      <w:r>
        <w:rPr>
          <w:rFonts w:asciiTheme="majorBidi" w:hAnsiTheme="majorBidi" w:cstheme="majorBidi"/>
          <w:sz w:val="24"/>
          <w:szCs w:val="24"/>
        </w:rPr>
        <w:t>d</w:t>
      </w:r>
      <w:r w:rsidRPr="00B73FDB">
        <w:rPr>
          <w:rFonts w:asciiTheme="majorBidi" w:hAnsiTheme="majorBidi" w:cstheme="majorBidi"/>
          <w:sz w:val="24"/>
          <w:szCs w:val="24"/>
        </w:rPr>
        <w:t xml:space="preserve"> on the application o</w:t>
      </w:r>
      <w:r>
        <w:rPr>
          <w:rFonts w:asciiTheme="majorBidi" w:hAnsiTheme="majorBidi" w:cstheme="majorBidi"/>
          <w:sz w:val="24"/>
          <w:szCs w:val="24"/>
        </w:rPr>
        <w:t>r</w:t>
      </w:r>
      <w:r w:rsidRPr="00B73FDB">
        <w:rPr>
          <w:rFonts w:asciiTheme="majorBidi" w:hAnsiTheme="majorBidi" w:cstheme="majorBidi"/>
          <w:sz w:val="24"/>
          <w:szCs w:val="24"/>
        </w:rPr>
        <w:t xml:space="preserve"> functional information (structural and reactivity) encoded in the nucleic acid polymers to develop sensitive sensing platforms and functional assemblies on surfaces </w:t>
      </w:r>
      <w:r>
        <w:rPr>
          <w:rFonts w:asciiTheme="majorBidi" w:hAnsiTheme="majorBidi" w:cstheme="majorBidi"/>
          <w:sz w:val="24"/>
          <w:szCs w:val="24"/>
        </w:rPr>
        <w:t>that control</w:t>
      </w:r>
      <w:r w:rsidRPr="00B73FDB">
        <w:rPr>
          <w:rFonts w:asciiTheme="majorBidi" w:hAnsiTheme="majorBidi" w:cstheme="majorBidi"/>
          <w:sz w:val="24"/>
          <w:szCs w:val="24"/>
        </w:rPr>
        <w:t xml:space="preserve"> electron transfer at the liquid</w:t>
      </w:r>
      <w:r>
        <w:rPr>
          <w:rFonts w:asciiTheme="majorBidi" w:hAnsiTheme="majorBidi" w:cstheme="majorBidi"/>
          <w:sz w:val="24"/>
          <w:szCs w:val="24"/>
        </w:rPr>
        <w:t>-</w:t>
      </w:r>
      <w:r w:rsidRPr="00B73FDB">
        <w:rPr>
          <w:rFonts w:asciiTheme="majorBidi" w:hAnsiTheme="majorBidi" w:cstheme="majorBidi"/>
          <w:sz w:val="24"/>
          <w:szCs w:val="24"/>
        </w:rPr>
        <w:t xml:space="preserve">solid interfaces and </w:t>
      </w:r>
      <w:r>
        <w:rPr>
          <w:rFonts w:asciiTheme="majorBidi" w:hAnsiTheme="majorBidi" w:cstheme="majorBidi"/>
          <w:sz w:val="24"/>
          <w:szCs w:val="24"/>
        </w:rPr>
        <w:t xml:space="preserve">can be used </w:t>
      </w:r>
      <w:r w:rsidRPr="00B73FDB">
        <w:rPr>
          <w:rFonts w:asciiTheme="majorBidi" w:hAnsiTheme="majorBidi" w:cstheme="majorBidi"/>
          <w:sz w:val="24"/>
          <w:szCs w:val="24"/>
        </w:rPr>
        <w:t>as DNA machines operating</w:t>
      </w:r>
      <w:r>
        <w:rPr>
          <w:rFonts w:asciiTheme="majorBidi" w:hAnsiTheme="majorBidi" w:cstheme="majorBidi"/>
          <w:sz w:val="24"/>
          <w:szCs w:val="24"/>
        </w:rPr>
        <w:t xml:space="preserve"> on</w:t>
      </w:r>
      <w:r w:rsidRPr="00B73FDB">
        <w:rPr>
          <w:rFonts w:asciiTheme="majorBidi" w:hAnsiTheme="majorBidi" w:cstheme="majorBidi"/>
          <w:sz w:val="24"/>
          <w:szCs w:val="24"/>
        </w:rPr>
        <w:t xml:space="preserve"> surface</w:t>
      </w:r>
      <w:r>
        <w:rPr>
          <w:rFonts w:asciiTheme="majorBidi" w:hAnsiTheme="majorBidi" w:cstheme="majorBidi"/>
          <w:sz w:val="24"/>
          <w:szCs w:val="24"/>
        </w:rPr>
        <w:t>s</w:t>
      </w:r>
      <w:r w:rsidRPr="00B73FDB">
        <w:rPr>
          <w:rFonts w:asciiTheme="majorBidi" w:hAnsiTheme="majorBidi" w:cstheme="majorBidi"/>
          <w:sz w:val="24"/>
          <w:szCs w:val="24"/>
        </w:rPr>
        <w:t>.</w:t>
      </w:r>
    </w:p>
    <w:p w:rsidR="000B172F" w:rsidRDefault="000B172F" w:rsidP="000B172F">
      <w:pPr>
        <w:bidi w:val="0"/>
        <w:spacing w:after="0" w:line="360" w:lineRule="auto"/>
        <w:jc w:val="both"/>
        <w:rPr>
          <w:rFonts w:asciiTheme="majorBidi" w:hAnsiTheme="majorBidi" w:cstheme="majorBidi"/>
          <w:sz w:val="24"/>
          <w:szCs w:val="24"/>
        </w:rPr>
      </w:pP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The specific goals of the research include</w:t>
      </w:r>
      <w:r>
        <w:rPr>
          <w:rFonts w:asciiTheme="majorBidi" w:hAnsiTheme="majorBidi" w:cstheme="majorBidi"/>
          <w:sz w:val="24"/>
          <w:szCs w:val="24"/>
        </w:rPr>
        <w:t>d</w:t>
      </w:r>
      <w:r w:rsidRPr="00B73FDB">
        <w:rPr>
          <w:rFonts w:asciiTheme="majorBidi" w:hAnsiTheme="majorBidi" w:cstheme="majorBidi"/>
          <w:sz w:val="24"/>
          <w:szCs w:val="24"/>
        </w:rPr>
        <w:t>:</w:t>
      </w:r>
    </w:p>
    <w:p w:rsidR="000B172F" w:rsidRPr="00B73FDB" w:rsidRDefault="000B172F" w:rsidP="000B172F">
      <w:pPr>
        <w:bidi w:val="0"/>
        <w:spacing w:after="0" w:line="360" w:lineRule="auto"/>
        <w:jc w:val="both"/>
        <w:rPr>
          <w:rFonts w:asciiTheme="majorBidi" w:hAnsiTheme="majorBidi" w:cstheme="majorBidi"/>
          <w:sz w:val="24"/>
          <w:szCs w:val="24"/>
        </w:rPr>
      </w:pP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i)</w:t>
      </w:r>
      <w:r>
        <w:rPr>
          <w:rFonts w:asciiTheme="majorBidi" w:hAnsiTheme="majorBidi" w:cstheme="majorBidi"/>
          <w:sz w:val="24"/>
          <w:szCs w:val="24"/>
        </w:rPr>
        <w:tab/>
      </w:r>
      <w:r w:rsidRPr="00B73FDB">
        <w:rPr>
          <w:rFonts w:asciiTheme="majorBidi" w:hAnsiTheme="majorBidi" w:cstheme="majorBidi"/>
          <w:sz w:val="24"/>
          <w:szCs w:val="24"/>
        </w:rPr>
        <w:t xml:space="preserve">Applying hemin/G-quadruplex structures associated with electrodes as </w:t>
      </w:r>
      <w:r w:rsidRPr="00B90BBD">
        <w:rPr>
          <w:rFonts w:asciiTheme="majorBidi" w:hAnsiTheme="majorBidi" w:cstheme="majorBidi"/>
          <w:sz w:val="24"/>
          <w:szCs w:val="24"/>
        </w:rPr>
        <w:t>electrocatalyst</w:t>
      </w:r>
      <w:r w:rsidRPr="00B73FDB">
        <w:rPr>
          <w:rFonts w:asciiTheme="majorBidi" w:hAnsiTheme="majorBidi" w:cstheme="majorBidi"/>
          <w:sz w:val="24"/>
          <w:szCs w:val="24"/>
        </w:rPr>
        <w:t xml:space="preserve"> </w:t>
      </w:r>
      <w:r>
        <w:rPr>
          <w:rFonts w:asciiTheme="majorBidi" w:hAnsiTheme="majorBidi" w:cstheme="majorBidi"/>
          <w:sz w:val="24"/>
          <w:szCs w:val="24"/>
        </w:rPr>
        <w:t>for</w:t>
      </w:r>
      <w:r w:rsidRPr="00B73FDB">
        <w:rPr>
          <w:rFonts w:asciiTheme="majorBidi" w:hAnsiTheme="majorBidi" w:cstheme="majorBidi"/>
          <w:sz w:val="24"/>
          <w:szCs w:val="24"/>
        </w:rPr>
        <w:t xml:space="preserve"> the reduction of H</w:t>
      </w:r>
      <w:r w:rsidRPr="00B73FDB">
        <w:rPr>
          <w:rFonts w:asciiTheme="majorBidi" w:hAnsiTheme="majorBidi" w:cstheme="majorBidi"/>
          <w:sz w:val="24"/>
          <w:szCs w:val="24"/>
          <w:vertAlign w:val="subscript"/>
        </w:rPr>
        <w:t>2</w:t>
      </w:r>
      <w:r w:rsidRPr="00B73FDB">
        <w:rPr>
          <w:rFonts w:asciiTheme="majorBidi" w:hAnsiTheme="majorBidi" w:cstheme="majorBidi"/>
          <w:sz w:val="24"/>
          <w:szCs w:val="24"/>
        </w:rPr>
        <w:t>O</w:t>
      </w:r>
      <w:r w:rsidRPr="00B73FDB">
        <w:rPr>
          <w:rFonts w:asciiTheme="majorBidi" w:hAnsiTheme="majorBidi" w:cstheme="majorBidi"/>
          <w:sz w:val="24"/>
          <w:szCs w:val="24"/>
          <w:vertAlign w:val="subscript"/>
        </w:rPr>
        <w:t>2</w:t>
      </w:r>
      <w:r w:rsidRPr="00B73FDB">
        <w:rPr>
          <w:rFonts w:asciiTheme="majorBidi" w:hAnsiTheme="majorBidi" w:cstheme="majorBidi"/>
          <w:sz w:val="24"/>
          <w:szCs w:val="24"/>
        </w:rPr>
        <w:t xml:space="preserve"> to water. Within this topic, the hemin/G-quadruplex structures </w:t>
      </w:r>
      <w:r>
        <w:rPr>
          <w:rFonts w:asciiTheme="majorBidi" w:hAnsiTheme="majorBidi" w:cstheme="majorBidi"/>
          <w:sz w:val="24"/>
          <w:szCs w:val="24"/>
        </w:rPr>
        <w:t>were</w:t>
      </w:r>
      <w:r w:rsidRPr="00B73FDB">
        <w:rPr>
          <w:rFonts w:asciiTheme="majorBidi" w:hAnsiTheme="majorBidi" w:cstheme="majorBidi"/>
          <w:sz w:val="24"/>
          <w:szCs w:val="24"/>
        </w:rPr>
        <w:t xml:space="preserve"> implemented as electrocatalytic probes for the detection of DNA, sensing the formation of aptamer-substrate complexes, the detection of metal ions (Pb</w:t>
      </w:r>
      <w:r w:rsidRPr="00B73FDB">
        <w:rPr>
          <w:rFonts w:asciiTheme="majorBidi" w:hAnsiTheme="majorBidi" w:cstheme="majorBidi"/>
          <w:sz w:val="24"/>
          <w:szCs w:val="24"/>
          <w:vertAlign w:val="superscript"/>
        </w:rPr>
        <w:t>2+</w:t>
      </w:r>
      <w:r w:rsidRPr="00B73FDB">
        <w:rPr>
          <w:rFonts w:asciiTheme="majorBidi" w:hAnsiTheme="majorBidi" w:cstheme="majorBidi"/>
          <w:sz w:val="24"/>
          <w:szCs w:val="24"/>
        </w:rPr>
        <w:t>), and the implementation of the catalyst to identify H</w:t>
      </w:r>
      <w:r w:rsidRPr="00B73FDB">
        <w:rPr>
          <w:rFonts w:asciiTheme="majorBidi" w:hAnsiTheme="majorBidi" w:cstheme="majorBidi"/>
          <w:sz w:val="24"/>
          <w:szCs w:val="24"/>
          <w:vertAlign w:val="subscript"/>
        </w:rPr>
        <w:t>2</w:t>
      </w:r>
      <w:r w:rsidRPr="00B73FDB">
        <w:rPr>
          <w:rFonts w:asciiTheme="majorBidi" w:hAnsiTheme="majorBidi" w:cstheme="majorBidi"/>
          <w:sz w:val="24"/>
          <w:szCs w:val="24"/>
        </w:rPr>
        <w:t>O</w:t>
      </w:r>
      <w:r w:rsidRPr="00B73FDB">
        <w:rPr>
          <w:rFonts w:asciiTheme="majorBidi" w:hAnsiTheme="majorBidi" w:cstheme="majorBidi"/>
          <w:sz w:val="24"/>
          <w:szCs w:val="24"/>
          <w:vertAlign w:val="subscript"/>
        </w:rPr>
        <w:t>2</w:t>
      </w:r>
      <w:r w:rsidRPr="00B73FDB">
        <w:rPr>
          <w:rFonts w:asciiTheme="majorBidi" w:hAnsiTheme="majorBidi" w:cstheme="majorBidi"/>
          <w:sz w:val="24"/>
          <w:szCs w:val="24"/>
        </w:rPr>
        <w:t xml:space="preserve"> generated by oxidases (glucose oxidase).</w:t>
      </w:r>
    </w:p>
    <w:p w:rsidR="000B172F" w:rsidRPr="00B73FDB" w:rsidRDefault="000B172F" w:rsidP="000B172F">
      <w:pPr>
        <w:bidi w:val="0"/>
        <w:spacing w:after="0" w:line="360" w:lineRule="auto"/>
        <w:jc w:val="both"/>
        <w:rPr>
          <w:rFonts w:asciiTheme="majorBidi" w:hAnsiTheme="majorBidi" w:cstheme="majorBidi"/>
          <w:sz w:val="24"/>
          <w:szCs w:val="24"/>
        </w:rPr>
      </w:pPr>
    </w:p>
    <w:p w:rsidR="000B172F" w:rsidRPr="00933AE9"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ii)</w:t>
      </w:r>
      <w:r>
        <w:rPr>
          <w:rFonts w:asciiTheme="majorBidi" w:hAnsiTheme="majorBidi" w:cstheme="majorBidi"/>
          <w:sz w:val="24"/>
          <w:szCs w:val="24"/>
        </w:rPr>
        <w:tab/>
      </w:r>
      <w:r w:rsidRPr="00B73FDB">
        <w:rPr>
          <w:rFonts w:asciiTheme="majorBidi" w:hAnsiTheme="majorBidi" w:cstheme="majorBidi"/>
          <w:sz w:val="24"/>
          <w:szCs w:val="24"/>
        </w:rPr>
        <w:t>Applying surface plasmon resonance as a physical method to sense the formation of aptamer</w:t>
      </w:r>
      <w:r>
        <w:rPr>
          <w:rFonts w:asciiTheme="majorBidi" w:hAnsiTheme="majorBidi" w:cstheme="majorBidi"/>
          <w:sz w:val="24"/>
          <w:szCs w:val="24"/>
        </w:rPr>
        <w:t>-</w:t>
      </w:r>
      <w:r w:rsidRPr="00B73FDB">
        <w:rPr>
          <w:rFonts w:asciiTheme="majorBidi" w:hAnsiTheme="majorBidi" w:cstheme="majorBidi"/>
          <w:sz w:val="24"/>
          <w:szCs w:val="24"/>
        </w:rPr>
        <w:t>substrate complexes and for the detection of hazardous metal ions (Pb</w:t>
      </w:r>
      <w:r>
        <w:rPr>
          <w:rFonts w:asciiTheme="majorBidi" w:hAnsiTheme="majorBidi" w:cstheme="majorBidi"/>
          <w:sz w:val="24"/>
          <w:szCs w:val="24"/>
          <w:vertAlign w:val="superscript"/>
        </w:rPr>
        <w:t>2+</w:t>
      </w:r>
      <w:r w:rsidRPr="00B73FDB">
        <w:rPr>
          <w:rFonts w:asciiTheme="majorBidi" w:hAnsiTheme="majorBidi" w:cstheme="majorBidi"/>
          <w:sz w:val="24"/>
          <w:szCs w:val="24"/>
        </w:rPr>
        <w:t>, Hg</w:t>
      </w:r>
      <w:r w:rsidRPr="001256AA">
        <w:rPr>
          <w:rFonts w:asciiTheme="majorBidi" w:hAnsiTheme="majorBidi" w:cstheme="majorBidi"/>
          <w:sz w:val="24"/>
          <w:szCs w:val="24"/>
          <w:vertAlign w:val="superscript"/>
        </w:rPr>
        <w:t>2+</w:t>
      </w:r>
      <w:r w:rsidRPr="00B73FDB">
        <w:rPr>
          <w:rFonts w:asciiTheme="majorBidi" w:hAnsiTheme="majorBidi" w:cstheme="majorBidi"/>
          <w:sz w:val="24"/>
          <w:szCs w:val="24"/>
        </w:rPr>
        <w:t>). Within these efforts, we would like to implement the hemin/G-quadruplex formed as a result of the</w:t>
      </w:r>
      <w:r>
        <w:rPr>
          <w:rFonts w:asciiTheme="majorBidi" w:hAnsiTheme="majorBidi" w:cstheme="majorBidi"/>
          <w:sz w:val="24"/>
          <w:szCs w:val="24"/>
        </w:rPr>
        <w:t xml:space="preserve"> different</w:t>
      </w:r>
      <w:r w:rsidRPr="00B73FDB">
        <w:rPr>
          <w:rFonts w:asciiTheme="majorBidi" w:hAnsiTheme="majorBidi" w:cstheme="majorBidi"/>
          <w:sz w:val="24"/>
          <w:szCs w:val="24"/>
        </w:rPr>
        <w:t xml:space="preserve"> sensing process as </w:t>
      </w:r>
      <w:r>
        <w:rPr>
          <w:rFonts w:asciiTheme="majorBidi" w:hAnsiTheme="majorBidi" w:cstheme="majorBidi"/>
          <w:sz w:val="24"/>
          <w:szCs w:val="24"/>
        </w:rPr>
        <w:t xml:space="preserve">an </w:t>
      </w:r>
      <w:r w:rsidRPr="00B73FDB">
        <w:rPr>
          <w:rFonts w:asciiTheme="majorBidi" w:hAnsiTheme="majorBidi" w:cstheme="majorBidi"/>
          <w:sz w:val="24"/>
          <w:szCs w:val="24"/>
        </w:rPr>
        <w:t xml:space="preserve">optical label for the amplification of the sensing events involved. The hemin/G-quadruplex formed on the surface that </w:t>
      </w:r>
      <w:r>
        <w:rPr>
          <w:rFonts w:asciiTheme="majorBidi" w:hAnsiTheme="majorBidi" w:cstheme="majorBidi"/>
          <w:sz w:val="24"/>
          <w:szCs w:val="24"/>
        </w:rPr>
        <w:t>contained</w:t>
      </w:r>
      <w:r w:rsidRPr="00B73FDB">
        <w:rPr>
          <w:rFonts w:asciiTheme="majorBidi" w:hAnsiTheme="majorBidi" w:cstheme="majorBidi"/>
          <w:sz w:val="24"/>
          <w:szCs w:val="24"/>
        </w:rPr>
        <w:t xml:space="preserve"> the sensing matrix </w:t>
      </w:r>
      <w:r>
        <w:rPr>
          <w:rFonts w:asciiTheme="majorBidi" w:hAnsiTheme="majorBidi" w:cstheme="majorBidi"/>
          <w:sz w:val="24"/>
          <w:szCs w:val="24"/>
        </w:rPr>
        <w:t>was</w:t>
      </w:r>
      <w:r w:rsidRPr="00B73FDB">
        <w:rPr>
          <w:rFonts w:asciiTheme="majorBidi" w:hAnsiTheme="majorBidi" w:cstheme="majorBidi"/>
          <w:sz w:val="24"/>
          <w:szCs w:val="24"/>
        </w:rPr>
        <w:t xml:space="preserve"> implemented as </w:t>
      </w:r>
      <w:r>
        <w:rPr>
          <w:rFonts w:asciiTheme="majorBidi" w:hAnsiTheme="majorBidi" w:cstheme="majorBidi"/>
          <w:sz w:val="24"/>
          <w:szCs w:val="24"/>
        </w:rPr>
        <w:t xml:space="preserve">an </w:t>
      </w:r>
      <w:r w:rsidRPr="00B73FDB">
        <w:rPr>
          <w:rFonts w:asciiTheme="majorBidi" w:hAnsiTheme="majorBidi" w:cstheme="majorBidi"/>
          <w:sz w:val="24"/>
          <w:szCs w:val="24"/>
        </w:rPr>
        <w:t xml:space="preserve">optical label </w:t>
      </w:r>
      <w:r>
        <w:rPr>
          <w:rFonts w:asciiTheme="majorBidi" w:hAnsiTheme="majorBidi" w:cstheme="majorBidi"/>
          <w:sz w:val="24"/>
          <w:szCs w:val="24"/>
        </w:rPr>
        <w:t>that</w:t>
      </w:r>
      <w:r w:rsidRPr="00B73FDB">
        <w:rPr>
          <w:rFonts w:asciiTheme="majorBidi" w:hAnsiTheme="majorBidi" w:cstheme="majorBidi"/>
          <w:sz w:val="24"/>
          <w:szCs w:val="24"/>
        </w:rPr>
        <w:t xml:space="preserve"> amplif</w:t>
      </w:r>
      <w:r>
        <w:rPr>
          <w:rFonts w:asciiTheme="majorBidi" w:hAnsiTheme="majorBidi" w:cstheme="majorBidi"/>
          <w:sz w:val="24"/>
          <w:szCs w:val="24"/>
        </w:rPr>
        <w:t>ied</w:t>
      </w:r>
      <w:r w:rsidRPr="00B73FDB">
        <w:rPr>
          <w:rFonts w:asciiTheme="majorBidi" w:hAnsiTheme="majorBidi" w:cstheme="majorBidi"/>
          <w:sz w:val="24"/>
          <w:szCs w:val="24"/>
        </w:rPr>
        <w:t xml:space="preserve"> the surface plasmon resonance transduction signals.</w:t>
      </w:r>
      <w:r>
        <w:rPr>
          <w:rFonts w:asciiTheme="majorBidi" w:hAnsiTheme="majorBidi" w:cstheme="majorBidi"/>
          <w:sz w:val="24"/>
          <w:szCs w:val="24"/>
        </w:rPr>
        <w:t xml:space="preserve"> </w:t>
      </w:r>
      <w:r w:rsidRPr="00F81FB3">
        <w:rPr>
          <w:rFonts w:asciiTheme="majorBidi" w:hAnsiTheme="majorBidi" w:cstheme="majorBidi"/>
          <w:sz w:val="24"/>
          <w:szCs w:val="24"/>
        </w:rPr>
        <w:t>Furthermore,</w:t>
      </w:r>
      <w:r w:rsidRPr="00933AE9">
        <w:rPr>
          <w:rFonts w:asciiTheme="majorBidi" w:hAnsiTheme="majorBidi" w:cstheme="majorBidi"/>
          <w:sz w:val="24"/>
          <w:szCs w:val="24"/>
        </w:rPr>
        <w:t xml:space="preserve"> G-quadruplex optical labels</w:t>
      </w:r>
      <w:r>
        <w:rPr>
          <w:rFonts w:asciiTheme="majorBidi" w:hAnsiTheme="majorBidi" w:cstheme="majorBidi"/>
          <w:sz w:val="24"/>
          <w:szCs w:val="24"/>
        </w:rPr>
        <w:t xml:space="preserve"> were</w:t>
      </w:r>
      <w:r w:rsidRPr="00933AE9">
        <w:rPr>
          <w:rFonts w:asciiTheme="majorBidi" w:hAnsiTheme="majorBidi" w:cstheme="majorBidi"/>
          <w:sz w:val="24"/>
          <w:szCs w:val="24"/>
        </w:rPr>
        <w:t xml:space="preserve"> immobilized on Au NPs, and th</w:t>
      </w:r>
      <w:r>
        <w:rPr>
          <w:rFonts w:asciiTheme="majorBidi" w:hAnsiTheme="majorBidi" w:cstheme="majorBidi"/>
          <w:sz w:val="24"/>
          <w:szCs w:val="24"/>
        </w:rPr>
        <w:t>ese</w:t>
      </w:r>
      <w:r w:rsidRPr="00933AE9">
        <w:rPr>
          <w:rFonts w:asciiTheme="majorBidi" w:hAnsiTheme="majorBidi" w:cstheme="majorBidi"/>
          <w:sz w:val="24"/>
          <w:szCs w:val="24"/>
        </w:rPr>
        <w:t xml:space="preserve"> </w:t>
      </w:r>
      <w:r>
        <w:rPr>
          <w:rFonts w:asciiTheme="majorBidi" w:hAnsiTheme="majorBidi" w:cstheme="majorBidi"/>
          <w:sz w:val="24"/>
          <w:szCs w:val="24"/>
        </w:rPr>
        <w:t>were</w:t>
      </w:r>
      <w:r w:rsidRPr="00933AE9">
        <w:rPr>
          <w:rFonts w:asciiTheme="majorBidi" w:hAnsiTheme="majorBidi" w:cstheme="majorBidi"/>
          <w:sz w:val="24"/>
          <w:szCs w:val="24"/>
        </w:rPr>
        <w:t xml:space="preserve"> </w:t>
      </w:r>
      <w:r>
        <w:rPr>
          <w:rFonts w:asciiTheme="majorBidi" w:hAnsiTheme="majorBidi" w:cstheme="majorBidi"/>
          <w:sz w:val="24"/>
          <w:szCs w:val="24"/>
        </w:rPr>
        <w:t xml:space="preserve">further </w:t>
      </w:r>
      <w:r w:rsidRPr="00933AE9">
        <w:rPr>
          <w:rFonts w:asciiTheme="majorBidi" w:hAnsiTheme="majorBidi" w:cstheme="majorBidi"/>
          <w:sz w:val="24"/>
          <w:szCs w:val="24"/>
        </w:rPr>
        <w:lastRenderedPageBreak/>
        <w:t xml:space="preserve">assembled on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Au</w:t>
      </w:r>
      <w:r w:rsidRPr="00933AE9">
        <w:rPr>
          <w:rFonts w:asciiTheme="majorBidi" w:hAnsiTheme="majorBidi" w:cstheme="majorBidi"/>
          <w:sz w:val="24"/>
          <w:szCs w:val="24"/>
        </w:rPr>
        <w:t xml:space="preserve"> surface</w:t>
      </w:r>
      <w:r>
        <w:rPr>
          <w:rFonts w:asciiTheme="majorBidi" w:hAnsiTheme="majorBidi" w:cstheme="majorBidi"/>
          <w:sz w:val="24"/>
          <w:szCs w:val="24"/>
        </w:rPr>
        <w:t xml:space="preserve">. The resulting system was probed using </w:t>
      </w:r>
      <w:r w:rsidRPr="00933AE9">
        <w:rPr>
          <w:rFonts w:asciiTheme="majorBidi" w:hAnsiTheme="majorBidi" w:cstheme="majorBidi"/>
          <w:sz w:val="24"/>
          <w:szCs w:val="24"/>
        </w:rPr>
        <w:t xml:space="preserve">surface plasmon resonance </w:t>
      </w:r>
      <w:r>
        <w:rPr>
          <w:rFonts w:asciiTheme="majorBidi" w:hAnsiTheme="majorBidi" w:cstheme="majorBidi"/>
          <w:sz w:val="24"/>
          <w:szCs w:val="24"/>
        </w:rPr>
        <w:t>spectroscopy (SPR)</w:t>
      </w:r>
      <w:r w:rsidRPr="00933AE9">
        <w:rPr>
          <w:rFonts w:asciiTheme="majorBidi" w:hAnsiTheme="majorBidi" w:cstheme="majorBidi"/>
          <w:sz w:val="24"/>
          <w:szCs w:val="24"/>
        </w:rPr>
        <w:t>. By this way, the dielectric changes occurring on the surface as a result of the sensing processes</w:t>
      </w:r>
      <w:r>
        <w:rPr>
          <w:rFonts w:asciiTheme="majorBidi" w:hAnsiTheme="majorBidi" w:cstheme="majorBidi"/>
          <w:sz w:val="24"/>
          <w:szCs w:val="24"/>
        </w:rPr>
        <w:t>,</w:t>
      </w:r>
      <w:r w:rsidRPr="00933AE9">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933AE9">
        <w:rPr>
          <w:rFonts w:asciiTheme="majorBidi" w:hAnsiTheme="majorBidi" w:cstheme="majorBidi"/>
          <w:sz w:val="24"/>
          <w:szCs w:val="24"/>
        </w:rPr>
        <w:t>formation of the hemin/G-quadruplex label</w:t>
      </w:r>
      <w:r>
        <w:rPr>
          <w:rFonts w:asciiTheme="majorBidi" w:hAnsiTheme="majorBidi" w:cstheme="majorBidi"/>
          <w:sz w:val="24"/>
          <w:szCs w:val="24"/>
        </w:rPr>
        <w:t>, were</w:t>
      </w:r>
      <w:r w:rsidRPr="00933AE9">
        <w:rPr>
          <w:rFonts w:asciiTheme="majorBidi" w:hAnsiTheme="majorBidi" w:cstheme="majorBidi"/>
          <w:sz w:val="24"/>
          <w:szCs w:val="24"/>
        </w:rPr>
        <w:t xml:space="preserve"> amplified by the coupling of the localized plasmon of the NPs with the surface plasmon wave. As a result, minute </w:t>
      </w:r>
      <w:r>
        <w:rPr>
          <w:rFonts w:asciiTheme="majorBidi" w:hAnsiTheme="majorBidi" w:cstheme="majorBidi"/>
          <w:sz w:val="24"/>
          <w:szCs w:val="24"/>
        </w:rPr>
        <w:t>dielectric</w:t>
      </w:r>
      <w:r w:rsidRPr="00933AE9">
        <w:rPr>
          <w:rFonts w:asciiTheme="majorBidi" w:hAnsiTheme="majorBidi" w:cstheme="majorBidi"/>
          <w:sz w:val="24"/>
          <w:szCs w:val="24"/>
        </w:rPr>
        <w:t xml:space="preserve"> charges (</w:t>
      </w:r>
      <w:r>
        <w:rPr>
          <w:rFonts w:asciiTheme="majorBidi" w:hAnsiTheme="majorBidi" w:cstheme="majorBidi"/>
          <w:sz w:val="24"/>
          <w:szCs w:val="24"/>
        </w:rPr>
        <w:t>small</w:t>
      </w:r>
      <w:r w:rsidRPr="00933AE9">
        <w:rPr>
          <w:rFonts w:asciiTheme="majorBidi" w:hAnsiTheme="majorBidi" w:cstheme="majorBidi"/>
          <w:sz w:val="24"/>
          <w:szCs w:val="24"/>
        </w:rPr>
        <w:t xml:space="preserve"> concentrations of the analyte target) led to measurable changes in</w:t>
      </w:r>
      <w:r>
        <w:rPr>
          <w:rFonts w:asciiTheme="majorBidi" w:hAnsiTheme="majorBidi" w:cstheme="majorBidi"/>
          <w:sz w:val="24"/>
          <w:szCs w:val="24"/>
        </w:rPr>
        <w:t xml:space="preserve"> the surface plasmon resonance signals</w:t>
      </w:r>
      <w:r w:rsidRPr="00933AE9">
        <w:rPr>
          <w:rFonts w:asciiTheme="majorBidi" w:hAnsiTheme="majorBidi" w:cstheme="majorBidi"/>
          <w:sz w:val="24"/>
          <w:szCs w:val="24"/>
        </w:rPr>
        <w:t>.</w:t>
      </w:r>
    </w:p>
    <w:p w:rsidR="000B172F" w:rsidRPr="00933AE9" w:rsidRDefault="000B172F" w:rsidP="000B172F">
      <w:pPr>
        <w:pStyle w:val="Pper"/>
        <w:spacing w:line="360" w:lineRule="auto"/>
        <w:rPr>
          <w:rFonts w:asciiTheme="majorBidi" w:hAnsiTheme="majorBidi" w:cstheme="majorBidi"/>
        </w:rPr>
      </w:pPr>
    </w:p>
    <w:p w:rsidR="000B172F" w:rsidRPr="00F43A6A" w:rsidRDefault="000B172F" w:rsidP="000B172F">
      <w:pPr>
        <w:bidi w:val="0"/>
        <w:spacing w:after="0" w:line="360" w:lineRule="auto"/>
        <w:jc w:val="both"/>
        <w:rPr>
          <w:rFonts w:asciiTheme="majorBidi" w:hAnsiTheme="majorBidi" w:cstheme="majorBidi"/>
          <w:sz w:val="24"/>
          <w:szCs w:val="24"/>
        </w:rPr>
      </w:pPr>
      <w:r w:rsidRPr="00F43A6A">
        <w:rPr>
          <w:rFonts w:asciiTheme="majorBidi" w:hAnsiTheme="majorBidi" w:cstheme="majorBidi"/>
          <w:sz w:val="24"/>
          <w:szCs w:val="24"/>
        </w:rPr>
        <w:t>iii)</w:t>
      </w:r>
      <w:r w:rsidRPr="00F43A6A">
        <w:rPr>
          <w:rFonts w:asciiTheme="majorBidi" w:hAnsiTheme="majorBidi" w:cstheme="majorBidi"/>
          <w:sz w:val="24"/>
          <w:szCs w:val="24"/>
        </w:rPr>
        <w:tab/>
        <w:t xml:space="preserve">Electrode surfaces </w:t>
      </w:r>
      <w:r>
        <w:rPr>
          <w:rFonts w:asciiTheme="majorBidi" w:hAnsiTheme="majorBidi" w:cstheme="majorBidi"/>
          <w:sz w:val="24"/>
          <w:szCs w:val="24"/>
        </w:rPr>
        <w:t>were</w:t>
      </w:r>
      <w:r w:rsidRPr="00F43A6A">
        <w:rPr>
          <w:rFonts w:asciiTheme="majorBidi" w:hAnsiTheme="majorBidi" w:cstheme="majorBidi"/>
          <w:sz w:val="24"/>
          <w:szCs w:val="24"/>
        </w:rPr>
        <w:t xml:space="preserve"> modified with programmed nucleic acids that </w:t>
      </w:r>
      <w:r>
        <w:rPr>
          <w:rFonts w:asciiTheme="majorBidi" w:hAnsiTheme="majorBidi" w:cstheme="majorBidi"/>
          <w:sz w:val="24"/>
          <w:szCs w:val="24"/>
        </w:rPr>
        <w:t>demonstrated</w:t>
      </w:r>
      <w:r w:rsidRPr="00F43A6A">
        <w:rPr>
          <w:rFonts w:asciiTheme="majorBidi" w:hAnsiTheme="majorBidi" w:cstheme="majorBidi"/>
          <w:sz w:val="24"/>
          <w:szCs w:val="24"/>
        </w:rPr>
        <w:t xml:space="preserve"> reversible transitions between random coil to organized structures, such as i-motif or G-quadruplex. The state of the DNA structures </w:t>
      </w:r>
      <w:r>
        <w:rPr>
          <w:rFonts w:asciiTheme="majorBidi" w:hAnsiTheme="majorBidi" w:cstheme="majorBidi"/>
          <w:sz w:val="24"/>
          <w:szCs w:val="24"/>
        </w:rPr>
        <w:t>was</w:t>
      </w:r>
      <w:r w:rsidRPr="00F43A6A">
        <w:rPr>
          <w:rFonts w:asciiTheme="majorBidi" w:hAnsiTheme="majorBidi" w:cstheme="majorBidi"/>
          <w:sz w:val="24"/>
          <w:szCs w:val="24"/>
        </w:rPr>
        <w:t xml:space="preserve"> triggered by external stimuli, such as pH (to form, or dissociate, i-motif structures) or by the addition of K</w:t>
      </w:r>
      <w:r w:rsidRPr="00F43A6A">
        <w:rPr>
          <w:rFonts w:asciiTheme="majorBidi" w:hAnsiTheme="majorBidi" w:cstheme="majorBidi"/>
          <w:sz w:val="24"/>
          <w:szCs w:val="24"/>
          <w:vertAlign w:val="superscript"/>
        </w:rPr>
        <w:t>+</w:t>
      </w:r>
      <w:r w:rsidRPr="00F43A6A">
        <w:rPr>
          <w:rFonts w:asciiTheme="majorBidi" w:hAnsiTheme="majorBidi" w:cstheme="majorBidi"/>
          <w:sz w:val="24"/>
          <w:szCs w:val="24"/>
        </w:rPr>
        <w:t xml:space="preserve"> ions (to stimulate the formation of G-quadruplexes). The structure changes of the nucleic acids associated with the electrode </w:t>
      </w:r>
      <w:r>
        <w:rPr>
          <w:rFonts w:asciiTheme="majorBidi" w:hAnsiTheme="majorBidi" w:cstheme="majorBidi"/>
          <w:sz w:val="24"/>
          <w:szCs w:val="24"/>
        </w:rPr>
        <w:t>led</w:t>
      </w:r>
      <w:r w:rsidRPr="00F43A6A">
        <w:rPr>
          <w:rFonts w:asciiTheme="majorBidi" w:hAnsiTheme="majorBidi" w:cstheme="majorBidi"/>
          <w:sz w:val="24"/>
          <w:szCs w:val="24"/>
        </w:rPr>
        <w:t xml:space="preserve"> to the cyclic control of the interfacial electron transfer (ITF) properties at the solution electrode interface. The ITF properties </w:t>
      </w:r>
      <w:r>
        <w:rPr>
          <w:rFonts w:asciiTheme="majorBidi" w:hAnsiTheme="majorBidi" w:cstheme="majorBidi"/>
          <w:sz w:val="24"/>
          <w:szCs w:val="24"/>
        </w:rPr>
        <w:t>were</w:t>
      </w:r>
      <w:r w:rsidRPr="00F43A6A">
        <w:rPr>
          <w:rFonts w:asciiTheme="majorBidi" w:hAnsiTheme="majorBidi" w:cstheme="majorBidi"/>
          <w:sz w:val="24"/>
          <w:szCs w:val="24"/>
        </w:rPr>
        <w:t xml:space="preserve"> monitored by faradaic impedance spectroscopy.</w:t>
      </w:r>
    </w:p>
    <w:p w:rsidR="000B172F" w:rsidRPr="00F43A6A" w:rsidRDefault="000B172F" w:rsidP="000B172F">
      <w:pPr>
        <w:pStyle w:val="Pper"/>
        <w:spacing w:line="360" w:lineRule="auto"/>
        <w:rPr>
          <w:rFonts w:asciiTheme="majorBidi" w:eastAsiaTheme="minorHAnsi" w:hAnsiTheme="majorBidi" w:cstheme="majorBidi"/>
          <w:caps/>
          <w:lang w:bidi="he-IL"/>
        </w:rPr>
      </w:pPr>
    </w:p>
    <w:p w:rsidR="000B172F" w:rsidRPr="00F43A6A" w:rsidRDefault="000B172F" w:rsidP="000B172F">
      <w:pPr>
        <w:bidi w:val="0"/>
        <w:spacing w:after="0" w:line="360" w:lineRule="auto"/>
        <w:jc w:val="both"/>
        <w:rPr>
          <w:rFonts w:asciiTheme="majorBidi" w:hAnsiTheme="majorBidi" w:cstheme="majorBidi"/>
          <w:sz w:val="24"/>
          <w:szCs w:val="24"/>
        </w:rPr>
      </w:pPr>
      <w:proofErr w:type="gramStart"/>
      <w:r w:rsidRPr="00F43A6A">
        <w:rPr>
          <w:rFonts w:asciiTheme="majorBidi" w:hAnsiTheme="majorBidi" w:cstheme="majorBidi"/>
          <w:sz w:val="24"/>
          <w:szCs w:val="24"/>
        </w:rPr>
        <w:t>iv)</w:t>
      </w:r>
      <w:r>
        <w:rPr>
          <w:rFonts w:asciiTheme="majorBidi" w:hAnsiTheme="majorBidi" w:cstheme="majorBidi"/>
          <w:sz w:val="24"/>
          <w:szCs w:val="24"/>
        </w:rPr>
        <w:tab/>
      </w:r>
      <w:r w:rsidRPr="00F43A6A">
        <w:rPr>
          <w:rFonts w:asciiTheme="majorBidi" w:hAnsiTheme="majorBidi" w:cstheme="majorBidi"/>
          <w:sz w:val="24"/>
          <w:szCs w:val="24"/>
        </w:rPr>
        <w:t>We</w:t>
      </w:r>
      <w:proofErr w:type="gramEnd"/>
      <w:r w:rsidRPr="00F43A6A">
        <w:rPr>
          <w:rFonts w:asciiTheme="majorBidi" w:hAnsiTheme="majorBidi" w:cstheme="majorBidi"/>
          <w:sz w:val="24"/>
          <w:szCs w:val="24"/>
        </w:rPr>
        <w:t xml:space="preserve"> construct</w:t>
      </w:r>
      <w:r>
        <w:rPr>
          <w:rFonts w:asciiTheme="majorBidi" w:hAnsiTheme="majorBidi" w:cstheme="majorBidi"/>
          <w:sz w:val="24"/>
          <w:szCs w:val="24"/>
        </w:rPr>
        <w:t>ed</w:t>
      </w:r>
      <w:r w:rsidRPr="00F43A6A">
        <w:rPr>
          <w:rFonts w:asciiTheme="majorBidi" w:hAnsiTheme="majorBidi" w:cstheme="majorBidi"/>
          <w:sz w:val="24"/>
          <w:szCs w:val="24"/>
        </w:rPr>
        <w:t xml:space="preserve"> on electrode surfaces programmed DNA assemblies that act</w:t>
      </w:r>
      <w:r>
        <w:rPr>
          <w:rFonts w:asciiTheme="majorBidi" w:hAnsiTheme="majorBidi" w:cstheme="majorBidi"/>
          <w:sz w:val="24"/>
          <w:szCs w:val="24"/>
        </w:rPr>
        <w:t>ed</w:t>
      </w:r>
      <w:r w:rsidRPr="00F43A6A">
        <w:rPr>
          <w:rFonts w:asciiTheme="majorBidi" w:hAnsiTheme="majorBidi" w:cstheme="majorBidi"/>
          <w:sz w:val="24"/>
          <w:szCs w:val="24"/>
        </w:rPr>
        <w:t xml:space="preserve"> as mechanical "arm</w:t>
      </w:r>
      <w:r>
        <w:rPr>
          <w:rFonts w:asciiTheme="majorBidi" w:hAnsiTheme="majorBidi" w:cstheme="majorBidi"/>
          <w:sz w:val="24"/>
          <w:szCs w:val="24"/>
        </w:rPr>
        <w:t>s</w:t>
      </w:r>
      <w:r w:rsidRPr="00F43A6A">
        <w:rPr>
          <w:rFonts w:asciiTheme="majorBidi" w:hAnsiTheme="majorBidi" w:cstheme="majorBidi"/>
          <w:sz w:val="24"/>
          <w:szCs w:val="24"/>
        </w:rPr>
        <w:t xml:space="preserve">" </w:t>
      </w:r>
      <w:r>
        <w:rPr>
          <w:rFonts w:asciiTheme="majorBidi" w:hAnsiTheme="majorBidi" w:cstheme="majorBidi"/>
          <w:sz w:val="24"/>
          <w:szCs w:val="24"/>
        </w:rPr>
        <w:t>which were</w:t>
      </w:r>
      <w:r w:rsidRPr="00F43A6A">
        <w:rPr>
          <w:rFonts w:asciiTheme="majorBidi" w:hAnsiTheme="majorBidi" w:cstheme="majorBidi"/>
          <w:sz w:val="24"/>
          <w:szCs w:val="24"/>
        </w:rPr>
        <w:t xml:space="preserve"> mechanically driven across specific sites on the DNA scaffold. The mechanical arm</w:t>
      </w:r>
      <w:r>
        <w:rPr>
          <w:rFonts w:asciiTheme="majorBidi" w:hAnsiTheme="majorBidi" w:cstheme="majorBidi"/>
          <w:sz w:val="24"/>
          <w:szCs w:val="24"/>
        </w:rPr>
        <w:t>s</w:t>
      </w:r>
      <w:r w:rsidRPr="00F43A6A">
        <w:rPr>
          <w:rFonts w:asciiTheme="majorBidi" w:hAnsiTheme="majorBidi" w:cstheme="majorBidi"/>
          <w:sz w:val="24"/>
          <w:szCs w:val="24"/>
        </w:rPr>
        <w:t xml:space="preserve"> </w:t>
      </w:r>
      <w:r>
        <w:rPr>
          <w:rFonts w:asciiTheme="majorBidi" w:hAnsiTheme="majorBidi" w:cstheme="majorBidi"/>
          <w:sz w:val="24"/>
          <w:szCs w:val="24"/>
        </w:rPr>
        <w:t>were</w:t>
      </w:r>
      <w:r w:rsidRPr="00F43A6A">
        <w:rPr>
          <w:rFonts w:asciiTheme="majorBidi" w:hAnsiTheme="majorBidi" w:cstheme="majorBidi"/>
          <w:sz w:val="24"/>
          <w:szCs w:val="24"/>
        </w:rPr>
        <w:t xml:space="preserve"> activated by external stimuli and </w:t>
      </w:r>
      <w:r>
        <w:rPr>
          <w:rFonts w:asciiTheme="majorBidi" w:hAnsiTheme="majorBidi" w:cstheme="majorBidi"/>
          <w:sz w:val="24"/>
          <w:szCs w:val="24"/>
        </w:rPr>
        <w:t>their</w:t>
      </w:r>
      <w:r w:rsidRPr="00F43A6A">
        <w:rPr>
          <w:rFonts w:asciiTheme="majorBidi" w:hAnsiTheme="majorBidi" w:cstheme="majorBidi"/>
          <w:sz w:val="24"/>
          <w:szCs w:val="24"/>
        </w:rPr>
        <w:t xml:space="preserve"> operation </w:t>
      </w:r>
      <w:r>
        <w:rPr>
          <w:rFonts w:asciiTheme="majorBidi" w:hAnsiTheme="majorBidi" w:cstheme="majorBidi"/>
          <w:sz w:val="24"/>
          <w:szCs w:val="24"/>
        </w:rPr>
        <w:t>was</w:t>
      </w:r>
      <w:r w:rsidRPr="00F43A6A">
        <w:rPr>
          <w:rFonts w:asciiTheme="majorBidi" w:hAnsiTheme="majorBidi" w:cstheme="majorBidi"/>
          <w:sz w:val="24"/>
          <w:szCs w:val="24"/>
        </w:rPr>
        <w:t xml:space="preserve"> monitored by electrochemical means with a response of a redox label associated with the moving arm.</w:t>
      </w:r>
    </w:p>
    <w:p w:rsidR="000B172F" w:rsidRPr="00B73FDB"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 xml:space="preserve">All of the functional systems operating as sensors or DNA machines </w:t>
      </w:r>
      <w:r>
        <w:rPr>
          <w:rFonts w:asciiTheme="majorBidi" w:hAnsiTheme="majorBidi" w:cstheme="majorBidi"/>
          <w:sz w:val="24"/>
          <w:szCs w:val="24"/>
        </w:rPr>
        <w:t>were</w:t>
      </w:r>
      <w:r w:rsidRPr="00B73FDB">
        <w:rPr>
          <w:rFonts w:asciiTheme="majorBidi" w:hAnsiTheme="majorBidi" w:cstheme="majorBidi"/>
          <w:sz w:val="24"/>
          <w:szCs w:val="24"/>
        </w:rPr>
        <w:t xml:space="preserve"> characterized by electrochemical, spectroscopic</w:t>
      </w:r>
      <w:r>
        <w:rPr>
          <w:rFonts w:asciiTheme="majorBidi" w:hAnsiTheme="majorBidi" w:cstheme="majorBidi"/>
          <w:sz w:val="24"/>
          <w:szCs w:val="24"/>
        </w:rPr>
        <w:t xml:space="preserve"> </w:t>
      </w:r>
      <w:r w:rsidRPr="00B73FDB">
        <w:rPr>
          <w:rFonts w:asciiTheme="majorBidi" w:hAnsiTheme="majorBidi" w:cstheme="majorBidi"/>
          <w:sz w:val="24"/>
          <w:szCs w:val="24"/>
        </w:rPr>
        <w:t xml:space="preserve">and microscopic methods. Special efforts </w:t>
      </w:r>
      <w:r>
        <w:rPr>
          <w:rFonts w:asciiTheme="majorBidi" w:hAnsiTheme="majorBidi" w:cstheme="majorBidi"/>
          <w:sz w:val="24"/>
          <w:szCs w:val="24"/>
        </w:rPr>
        <w:t>were</w:t>
      </w:r>
      <w:r w:rsidRPr="00B73FDB">
        <w:rPr>
          <w:rFonts w:asciiTheme="majorBidi" w:hAnsiTheme="majorBidi" w:cstheme="majorBidi"/>
          <w:sz w:val="24"/>
          <w:szCs w:val="24"/>
        </w:rPr>
        <w:t xml:space="preserve"> directed to bridge between the structural and microscopic properties of the system</w:t>
      </w:r>
      <w:r>
        <w:rPr>
          <w:rFonts w:asciiTheme="majorBidi" w:hAnsiTheme="majorBidi" w:cstheme="majorBidi"/>
          <w:sz w:val="24"/>
          <w:szCs w:val="24"/>
        </w:rPr>
        <w:t>s</w:t>
      </w:r>
      <w:r w:rsidRPr="00B73FDB">
        <w:rPr>
          <w:rFonts w:asciiTheme="majorBidi" w:hAnsiTheme="majorBidi" w:cstheme="majorBidi"/>
          <w:sz w:val="24"/>
          <w:szCs w:val="24"/>
        </w:rPr>
        <w:t xml:space="preserve"> and their macroscopic functional activities. In addition, the implications of the study and the future applications of the different systems </w:t>
      </w:r>
      <w:r>
        <w:rPr>
          <w:rFonts w:asciiTheme="majorBidi" w:hAnsiTheme="majorBidi" w:cstheme="majorBidi"/>
          <w:sz w:val="24"/>
          <w:szCs w:val="24"/>
        </w:rPr>
        <w:t>are</w:t>
      </w:r>
      <w:r w:rsidRPr="00B73FDB">
        <w:rPr>
          <w:rFonts w:asciiTheme="majorBidi" w:hAnsiTheme="majorBidi" w:cstheme="majorBidi"/>
          <w:sz w:val="24"/>
          <w:szCs w:val="24"/>
        </w:rPr>
        <w:t xml:space="preserve"> discussed.</w:t>
      </w:r>
    </w:p>
    <w:p w:rsidR="000B172F" w:rsidRPr="00B73FDB" w:rsidRDefault="000B172F" w:rsidP="000B172F">
      <w:pPr>
        <w:bidi w:val="0"/>
        <w:spacing w:after="0" w:line="360" w:lineRule="auto"/>
        <w:jc w:val="both"/>
        <w:rPr>
          <w:rFonts w:asciiTheme="majorBidi" w:hAnsiTheme="majorBidi" w:cstheme="majorBidi"/>
          <w:sz w:val="24"/>
          <w:szCs w:val="24"/>
        </w:rPr>
      </w:pPr>
    </w:p>
    <w:p w:rsidR="000B172F" w:rsidRPr="00962437" w:rsidRDefault="000B172F" w:rsidP="000B172F">
      <w:pPr>
        <w:bidi w:val="0"/>
        <w:spacing w:after="0" w:line="360" w:lineRule="auto"/>
        <w:jc w:val="both"/>
        <w:rPr>
          <w:rFonts w:ascii="Times New Roman" w:eastAsiaTheme="minorEastAsia" w:hAnsi="Times New Roman"/>
          <w:b/>
          <w:bCs/>
          <w:sz w:val="28"/>
          <w:szCs w:val="28"/>
          <w:lang w:bidi="ar-SA"/>
        </w:rPr>
      </w:pPr>
      <w:r w:rsidRPr="00962437">
        <w:rPr>
          <w:rFonts w:ascii="Times New Roman" w:eastAsiaTheme="minorEastAsia" w:hAnsi="Times New Roman"/>
          <w:b/>
          <w:bCs/>
          <w:sz w:val="28"/>
          <w:szCs w:val="28"/>
          <w:lang w:bidi="ar-SA"/>
        </w:rPr>
        <w:t>Chapter 2 – Research Methods</w:t>
      </w: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 xml:space="preserve">This chapter describes the different instruments and experimental setups used in the research. The detailed </w:t>
      </w:r>
      <w:proofErr w:type="gramStart"/>
      <w:r w:rsidRPr="00B73FDB">
        <w:rPr>
          <w:rFonts w:asciiTheme="majorBidi" w:hAnsiTheme="majorBidi" w:cstheme="majorBidi"/>
          <w:sz w:val="24"/>
          <w:szCs w:val="24"/>
        </w:rPr>
        <w:t>description of the experimental systems related to the results are</w:t>
      </w:r>
      <w:proofErr w:type="gramEnd"/>
      <w:r w:rsidRPr="00B73FDB">
        <w:rPr>
          <w:rFonts w:asciiTheme="majorBidi" w:hAnsiTheme="majorBidi" w:cstheme="majorBidi"/>
          <w:sz w:val="24"/>
          <w:szCs w:val="24"/>
        </w:rPr>
        <w:t xml:space="preserve"> detailed in the experimental sections of the respective set of scientific papers attached to the thesis. </w:t>
      </w:r>
    </w:p>
    <w:p w:rsidR="000B172F" w:rsidRDefault="000B172F" w:rsidP="000B172F">
      <w:pPr>
        <w:bidi w:val="0"/>
        <w:spacing w:after="0" w:line="360" w:lineRule="auto"/>
        <w:jc w:val="both"/>
        <w:rPr>
          <w:rFonts w:ascii="Times New Roman" w:eastAsiaTheme="minorEastAsia" w:hAnsi="Times New Roman"/>
          <w:b/>
          <w:bCs/>
          <w:sz w:val="28"/>
          <w:szCs w:val="28"/>
          <w:lang w:bidi="ar-SA"/>
        </w:rPr>
      </w:pPr>
    </w:p>
    <w:p w:rsidR="000B172F" w:rsidRPr="00962437" w:rsidRDefault="000B172F" w:rsidP="000B172F">
      <w:pPr>
        <w:bidi w:val="0"/>
        <w:spacing w:after="0" w:line="360" w:lineRule="auto"/>
        <w:jc w:val="both"/>
        <w:rPr>
          <w:rFonts w:ascii="Times New Roman" w:eastAsiaTheme="minorEastAsia" w:hAnsi="Times New Roman"/>
          <w:b/>
          <w:bCs/>
          <w:sz w:val="28"/>
          <w:szCs w:val="28"/>
          <w:lang w:bidi="ar-SA"/>
        </w:rPr>
      </w:pPr>
      <w:r w:rsidRPr="00962437">
        <w:rPr>
          <w:rFonts w:ascii="Times New Roman" w:eastAsiaTheme="minorEastAsia" w:hAnsi="Times New Roman"/>
          <w:b/>
          <w:bCs/>
          <w:sz w:val="28"/>
          <w:szCs w:val="28"/>
          <w:lang w:bidi="ar-SA"/>
        </w:rPr>
        <w:t xml:space="preserve">Chapter 3 – Research </w:t>
      </w:r>
      <w:r>
        <w:rPr>
          <w:rFonts w:ascii="Times New Roman" w:eastAsiaTheme="minorEastAsia" w:hAnsi="Times New Roman"/>
          <w:b/>
          <w:bCs/>
          <w:sz w:val="28"/>
          <w:szCs w:val="28"/>
          <w:lang w:bidi="ar-SA"/>
        </w:rPr>
        <w:t>r</w:t>
      </w:r>
      <w:r w:rsidRPr="00962437">
        <w:rPr>
          <w:rFonts w:ascii="Times New Roman" w:eastAsiaTheme="minorEastAsia" w:hAnsi="Times New Roman"/>
          <w:b/>
          <w:bCs/>
          <w:sz w:val="28"/>
          <w:szCs w:val="28"/>
          <w:lang w:bidi="ar-SA"/>
        </w:rPr>
        <w:t>esults</w:t>
      </w: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This chapter includes the scientific reports derived from the research projects, and these are separated into subsections that include 5 scientific papers:</w:t>
      </w:r>
    </w:p>
    <w:p w:rsidR="000B172F" w:rsidRDefault="000B172F" w:rsidP="000B172F">
      <w:pPr>
        <w:autoSpaceDE w:val="0"/>
        <w:autoSpaceDN w:val="0"/>
        <w:bidi w:val="0"/>
        <w:adjustRightInd w:val="0"/>
        <w:spacing w:after="0" w:line="360" w:lineRule="auto"/>
        <w:jc w:val="both"/>
        <w:rPr>
          <w:rFonts w:asciiTheme="majorBidi" w:hAnsiTheme="majorBidi" w:cstheme="majorBidi"/>
          <w:sz w:val="24"/>
          <w:szCs w:val="24"/>
        </w:rPr>
      </w:pPr>
    </w:p>
    <w:p w:rsidR="000B172F" w:rsidRDefault="000B172F" w:rsidP="000B172F">
      <w:pPr>
        <w:autoSpaceDE w:val="0"/>
        <w:autoSpaceDN w:val="0"/>
        <w:bidi w:val="0"/>
        <w:adjustRightInd w:val="0"/>
        <w:spacing w:after="0" w:line="360" w:lineRule="auto"/>
        <w:jc w:val="both"/>
        <w:rPr>
          <w:rFonts w:asciiTheme="majorBidi" w:hAnsiTheme="majorBidi" w:cstheme="majorBidi"/>
          <w:sz w:val="24"/>
          <w:szCs w:val="24"/>
        </w:rPr>
      </w:pPr>
    </w:p>
    <w:p w:rsidR="000B172F" w:rsidRDefault="000B172F" w:rsidP="000B172F">
      <w:pPr>
        <w:pStyle w:val="Pper"/>
        <w:tabs>
          <w:tab w:val="clear" w:pos="4763"/>
          <w:tab w:val="left" w:pos="709"/>
        </w:tabs>
        <w:spacing w:line="360" w:lineRule="auto"/>
      </w:pPr>
      <w:r w:rsidRPr="00770394">
        <w:t>3.1</w:t>
      </w:r>
      <w:r>
        <w:tab/>
      </w:r>
      <w:r w:rsidRPr="00770394">
        <w:t xml:space="preserve">“Amplified </w:t>
      </w:r>
      <w:r>
        <w:t>B</w:t>
      </w:r>
      <w:r w:rsidRPr="00770394">
        <w:t xml:space="preserve">iosensing </w:t>
      </w:r>
      <w:r>
        <w:t>U</w:t>
      </w:r>
      <w:r w:rsidRPr="00770394">
        <w:t xml:space="preserve">sing the </w:t>
      </w:r>
      <w:r>
        <w:t>H</w:t>
      </w:r>
      <w:r w:rsidRPr="00770394">
        <w:t xml:space="preserve">orseradish </w:t>
      </w:r>
      <w:r>
        <w:t>P</w:t>
      </w:r>
      <w:r w:rsidRPr="00770394">
        <w:t>eroxidase-</w:t>
      </w:r>
      <w:r>
        <w:t>M</w:t>
      </w:r>
      <w:r w:rsidRPr="00770394">
        <w:t xml:space="preserve">imicking </w:t>
      </w:r>
    </w:p>
    <w:p w:rsidR="000B172F" w:rsidRDefault="000B172F" w:rsidP="000B172F">
      <w:pPr>
        <w:pStyle w:val="Pper"/>
        <w:tabs>
          <w:tab w:val="clear" w:pos="4763"/>
          <w:tab w:val="left" w:pos="709"/>
        </w:tabs>
        <w:spacing w:line="360" w:lineRule="auto"/>
      </w:pPr>
      <w:r>
        <w:tab/>
      </w:r>
      <w:r>
        <w:tab/>
      </w:r>
      <w:r w:rsidRPr="00770394">
        <w:t xml:space="preserve">DNAzyme as an </w:t>
      </w:r>
      <w:r>
        <w:t>E</w:t>
      </w:r>
      <w:r w:rsidRPr="00770394">
        <w:t>lectrocatalyst”</w:t>
      </w:r>
      <w:r w:rsidRPr="00770394">
        <w:rPr>
          <w:rtl/>
        </w:rPr>
        <w:t xml:space="preserve"> </w:t>
      </w:r>
    </w:p>
    <w:p w:rsidR="000B172F" w:rsidRPr="00770394" w:rsidRDefault="000B172F" w:rsidP="000B172F">
      <w:pPr>
        <w:pStyle w:val="Pper"/>
        <w:spacing w:line="360" w:lineRule="auto"/>
      </w:pPr>
    </w:p>
    <w:p w:rsidR="000B172F" w:rsidRPr="00185DC7" w:rsidRDefault="000B172F" w:rsidP="000B172F">
      <w:pPr>
        <w:pStyle w:val="Pper"/>
        <w:tabs>
          <w:tab w:val="clear" w:pos="4763"/>
          <w:tab w:val="left" w:pos="709"/>
        </w:tabs>
        <w:spacing w:line="360" w:lineRule="auto"/>
        <w:rPr>
          <w:sz w:val="20"/>
          <w:szCs w:val="20"/>
          <w:vertAlign w:val="superscript"/>
        </w:rPr>
      </w:pPr>
      <w:r w:rsidRPr="00185DC7">
        <w:rPr>
          <w:sz w:val="20"/>
          <w:szCs w:val="20"/>
        </w:rPr>
        <w:tab/>
      </w:r>
      <w:r w:rsidRPr="00185DC7">
        <w:rPr>
          <w:sz w:val="20"/>
          <w:szCs w:val="20"/>
        </w:rPr>
        <w:tab/>
      </w:r>
      <w:proofErr w:type="gramStart"/>
      <w:r w:rsidRPr="00185DC7">
        <w:rPr>
          <w:sz w:val="20"/>
          <w:szCs w:val="20"/>
        </w:rPr>
        <w:t>Pelossof G., Tel-Vered R., Elbaz J., Willner</w:t>
      </w:r>
      <w:r>
        <w:rPr>
          <w:sz w:val="20"/>
          <w:szCs w:val="20"/>
        </w:rPr>
        <w:t>,</w:t>
      </w:r>
      <w:r w:rsidRPr="00185DC7">
        <w:rPr>
          <w:sz w:val="20"/>
          <w:szCs w:val="20"/>
        </w:rPr>
        <w:t xml:space="preserve"> I. </w:t>
      </w:r>
      <w:r w:rsidRPr="00102EE2">
        <w:rPr>
          <w:i/>
          <w:iCs/>
          <w:sz w:val="20"/>
          <w:szCs w:val="20"/>
        </w:rPr>
        <w:t>Anal.</w:t>
      </w:r>
      <w:proofErr w:type="gramEnd"/>
      <w:r w:rsidRPr="00102EE2">
        <w:rPr>
          <w:i/>
          <w:iCs/>
          <w:sz w:val="20"/>
          <w:szCs w:val="20"/>
        </w:rPr>
        <w:t xml:space="preserve"> Chem.</w:t>
      </w:r>
      <w:r w:rsidRPr="00185DC7">
        <w:rPr>
          <w:sz w:val="20"/>
          <w:szCs w:val="20"/>
        </w:rPr>
        <w:t xml:space="preserve"> </w:t>
      </w:r>
      <w:r w:rsidRPr="00185DC7">
        <w:rPr>
          <w:b/>
          <w:bCs/>
          <w:sz w:val="20"/>
          <w:szCs w:val="20"/>
        </w:rPr>
        <w:t>2010</w:t>
      </w:r>
      <w:r w:rsidRPr="00185DC7">
        <w:rPr>
          <w:sz w:val="20"/>
          <w:szCs w:val="20"/>
        </w:rPr>
        <w:t xml:space="preserve">, </w:t>
      </w:r>
      <w:r w:rsidRPr="003672A5">
        <w:rPr>
          <w:i/>
          <w:iCs/>
          <w:sz w:val="20"/>
          <w:szCs w:val="20"/>
        </w:rPr>
        <w:t>82</w:t>
      </w:r>
      <w:r w:rsidRPr="00185DC7">
        <w:rPr>
          <w:sz w:val="20"/>
          <w:szCs w:val="20"/>
        </w:rPr>
        <w:t>, 4396.</w:t>
      </w:r>
      <w:r>
        <w:rPr>
          <w:sz w:val="20"/>
          <w:szCs w:val="20"/>
          <w:vertAlign w:val="superscript"/>
        </w:rPr>
        <w:t>173</w:t>
      </w:r>
      <w:r w:rsidRPr="00A13084">
        <w:rPr>
          <w:rFonts w:asciiTheme="majorBidi" w:hAnsiTheme="majorBidi" w:cstheme="majorBidi"/>
          <w:color w:val="FFFFFF" w:themeColor="background1"/>
          <w:vertAlign w:val="superscript"/>
        </w:rPr>
        <w:t>*</w:t>
      </w:r>
    </w:p>
    <w:p w:rsidR="000B172F" w:rsidRPr="00770394" w:rsidRDefault="000B172F" w:rsidP="000B172F">
      <w:pPr>
        <w:pStyle w:val="Pper"/>
        <w:spacing w:line="360" w:lineRule="auto"/>
        <w:rPr>
          <w:rFonts w:eastAsiaTheme="majorEastAsia"/>
          <w:b/>
          <w:bCs/>
        </w:rPr>
      </w:pPr>
    </w:p>
    <w:p w:rsidR="000B172F" w:rsidRDefault="000B172F" w:rsidP="000B172F">
      <w:pPr>
        <w:pStyle w:val="Pper"/>
        <w:tabs>
          <w:tab w:val="clear" w:pos="4763"/>
          <w:tab w:val="left" w:pos="709"/>
        </w:tabs>
        <w:spacing w:line="360" w:lineRule="auto"/>
        <w:rPr>
          <w:b/>
        </w:rPr>
      </w:pPr>
      <w:r w:rsidRPr="00770394">
        <w:t>3.</w:t>
      </w:r>
      <w:r w:rsidRPr="00770394">
        <w:rPr>
          <w:rtl/>
        </w:rPr>
        <w:t>2</w:t>
      </w:r>
      <w:r>
        <w:tab/>
      </w:r>
      <w:r w:rsidRPr="00770394">
        <w:t xml:space="preserve">"Amplified </w:t>
      </w:r>
      <w:r>
        <w:t>S</w:t>
      </w:r>
      <w:r w:rsidRPr="00770394">
        <w:t xml:space="preserve">urface </w:t>
      </w:r>
      <w:r>
        <w:t>P</w:t>
      </w:r>
      <w:r w:rsidRPr="00770394">
        <w:t xml:space="preserve">lasmon </w:t>
      </w:r>
      <w:r>
        <w:t>R</w:t>
      </w:r>
      <w:r w:rsidRPr="00770394">
        <w:t>esonance-</w:t>
      </w:r>
      <w:r>
        <w:t>B</w:t>
      </w:r>
      <w:r w:rsidRPr="00770394">
        <w:t xml:space="preserve">ased DNA </w:t>
      </w:r>
      <w:r>
        <w:t>B</w:t>
      </w:r>
      <w:r w:rsidRPr="00770394">
        <w:t xml:space="preserve">iosensors, </w:t>
      </w:r>
      <w:r>
        <w:t>A</w:t>
      </w:r>
      <w:r w:rsidRPr="00770394">
        <w:t xml:space="preserve">ptasensors, </w:t>
      </w:r>
    </w:p>
    <w:p w:rsidR="000B172F" w:rsidRPr="00770394" w:rsidRDefault="000B172F" w:rsidP="000B172F">
      <w:pPr>
        <w:pStyle w:val="Pper"/>
        <w:tabs>
          <w:tab w:val="clear" w:pos="4763"/>
          <w:tab w:val="left" w:pos="709"/>
        </w:tabs>
        <w:spacing w:line="360" w:lineRule="auto"/>
        <w:rPr>
          <w:b/>
          <w:bCs/>
        </w:rPr>
      </w:pPr>
      <w:r>
        <w:tab/>
      </w:r>
      <w:r>
        <w:tab/>
      </w:r>
      <w:proofErr w:type="gramStart"/>
      <w:r w:rsidRPr="00770394">
        <w:t>and</w:t>
      </w:r>
      <w:proofErr w:type="gramEnd"/>
      <w:r w:rsidRPr="00770394">
        <w:t xml:space="preserve"> Hg</w:t>
      </w:r>
      <w:r w:rsidRPr="00770394">
        <w:rPr>
          <w:vertAlign w:val="superscript"/>
        </w:rPr>
        <w:t>2+</w:t>
      </w:r>
      <w:r w:rsidRPr="00770394">
        <w:t xml:space="preserve"> </w:t>
      </w:r>
      <w:r>
        <w:t>S</w:t>
      </w:r>
      <w:r w:rsidRPr="00770394">
        <w:t xml:space="preserve">ensors </w:t>
      </w:r>
      <w:r>
        <w:t>U</w:t>
      </w:r>
      <w:r w:rsidRPr="00770394">
        <w:t xml:space="preserve">sing </w:t>
      </w:r>
      <w:r>
        <w:t>H</w:t>
      </w:r>
      <w:r w:rsidRPr="00770394">
        <w:t xml:space="preserve">emin/G-Quadruplexes and Au </w:t>
      </w:r>
      <w:r>
        <w:t>N</w:t>
      </w:r>
      <w:r w:rsidRPr="00770394">
        <w:t xml:space="preserve">anoparticles" </w:t>
      </w:r>
    </w:p>
    <w:p w:rsidR="000B172F" w:rsidRPr="00770394" w:rsidRDefault="000B172F" w:rsidP="000B172F">
      <w:pPr>
        <w:pStyle w:val="Pper"/>
        <w:spacing w:line="360" w:lineRule="auto"/>
        <w:rPr>
          <w:sz w:val="20"/>
          <w:szCs w:val="20"/>
        </w:rPr>
      </w:pPr>
    </w:p>
    <w:p w:rsidR="000B172F" w:rsidRPr="00185DC7" w:rsidRDefault="000B172F" w:rsidP="000B172F">
      <w:pPr>
        <w:pStyle w:val="Pper"/>
        <w:tabs>
          <w:tab w:val="clear" w:pos="4763"/>
          <w:tab w:val="left" w:pos="709"/>
        </w:tabs>
        <w:spacing w:line="360" w:lineRule="auto"/>
        <w:rPr>
          <w:sz w:val="20"/>
          <w:szCs w:val="20"/>
          <w:vertAlign w:val="superscript"/>
        </w:rPr>
      </w:pPr>
      <w:r w:rsidRPr="00185DC7">
        <w:rPr>
          <w:sz w:val="20"/>
          <w:szCs w:val="20"/>
        </w:rPr>
        <w:tab/>
      </w:r>
      <w:r w:rsidRPr="00185DC7">
        <w:rPr>
          <w:sz w:val="20"/>
          <w:szCs w:val="20"/>
        </w:rPr>
        <w:tab/>
        <w:t>Pelossof G.</w:t>
      </w:r>
      <w:r>
        <w:rPr>
          <w:sz w:val="20"/>
          <w:szCs w:val="20"/>
        </w:rPr>
        <w:t>;</w:t>
      </w:r>
      <w:r w:rsidRPr="00185DC7">
        <w:rPr>
          <w:sz w:val="20"/>
          <w:szCs w:val="20"/>
        </w:rPr>
        <w:t xml:space="preserve"> Tel-Vered</w:t>
      </w:r>
      <w:r>
        <w:rPr>
          <w:sz w:val="20"/>
          <w:szCs w:val="20"/>
        </w:rPr>
        <w:t>,</w:t>
      </w:r>
      <w:r w:rsidRPr="00185DC7">
        <w:rPr>
          <w:sz w:val="20"/>
          <w:szCs w:val="20"/>
        </w:rPr>
        <w:t xml:space="preserve"> R.</w:t>
      </w:r>
      <w:proofErr w:type="gramStart"/>
      <w:r>
        <w:rPr>
          <w:sz w:val="20"/>
          <w:szCs w:val="20"/>
        </w:rPr>
        <w:t xml:space="preserve">; </w:t>
      </w:r>
      <w:r w:rsidRPr="00185DC7">
        <w:rPr>
          <w:sz w:val="20"/>
          <w:szCs w:val="20"/>
        </w:rPr>
        <w:t xml:space="preserve"> Liu</w:t>
      </w:r>
      <w:proofErr w:type="gramEnd"/>
      <w:r>
        <w:rPr>
          <w:sz w:val="20"/>
          <w:szCs w:val="20"/>
        </w:rPr>
        <w:t>,</w:t>
      </w:r>
      <w:r w:rsidRPr="00185DC7">
        <w:rPr>
          <w:sz w:val="20"/>
          <w:szCs w:val="20"/>
        </w:rPr>
        <w:t xml:space="preserve"> X.Q.</w:t>
      </w:r>
      <w:r>
        <w:rPr>
          <w:sz w:val="20"/>
          <w:szCs w:val="20"/>
        </w:rPr>
        <w:t>;</w:t>
      </w:r>
      <w:r w:rsidRPr="00185DC7">
        <w:rPr>
          <w:sz w:val="20"/>
          <w:szCs w:val="20"/>
        </w:rPr>
        <w:t xml:space="preserve"> Willner</w:t>
      </w:r>
      <w:r>
        <w:rPr>
          <w:sz w:val="20"/>
          <w:szCs w:val="20"/>
        </w:rPr>
        <w:t>,</w:t>
      </w:r>
      <w:r w:rsidRPr="00185DC7">
        <w:rPr>
          <w:sz w:val="20"/>
          <w:szCs w:val="20"/>
        </w:rPr>
        <w:t xml:space="preserve"> I. </w:t>
      </w:r>
      <w:r w:rsidRPr="00102EE2">
        <w:rPr>
          <w:i/>
          <w:iCs/>
          <w:sz w:val="20"/>
          <w:szCs w:val="20"/>
        </w:rPr>
        <w:t>Chem. Eur. J.</w:t>
      </w:r>
      <w:r w:rsidRPr="00185DC7">
        <w:rPr>
          <w:sz w:val="20"/>
          <w:szCs w:val="20"/>
        </w:rPr>
        <w:t xml:space="preserve"> </w:t>
      </w:r>
      <w:r w:rsidRPr="00185DC7">
        <w:rPr>
          <w:b/>
          <w:bCs/>
          <w:sz w:val="20"/>
          <w:szCs w:val="20"/>
        </w:rPr>
        <w:t>2011</w:t>
      </w:r>
      <w:r w:rsidRPr="00185DC7">
        <w:rPr>
          <w:sz w:val="20"/>
          <w:szCs w:val="20"/>
        </w:rPr>
        <w:t xml:space="preserve">, </w:t>
      </w:r>
      <w:r w:rsidRPr="003672A5">
        <w:rPr>
          <w:i/>
          <w:iCs/>
          <w:sz w:val="20"/>
          <w:szCs w:val="20"/>
        </w:rPr>
        <w:t>17</w:t>
      </w:r>
      <w:r w:rsidRPr="00185DC7">
        <w:rPr>
          <w:sz w:val="20"/>
          <w:szCs w:val="20"/>
        </w:rPr>
        <w:t>, 8904.</w:t>
      </w:r>
      <w:r>
        <w:rPr>
          <w:sz w:val="20"/>
          <w:szCs w:val="20"/>
          <w:vertAlign w:val="superscript"/>
        </w:rPr>
        <w:t>174</w:t>
      </w:r>
      <w:r w:rsidRPr="00A13084">
        <w:rPr>
          <w:rFonts w:asciiTheme="majorBidi" w:hAnsiTheme="majorBidi" w:cstheme="majorBidi"/>
          <w:color w:val="FFFFFF" w:themeColor="background1"/>
          <w:vertAlign w:val="superscript"/>
        </w:rPr>
        <w:t>*</w:t>
      </w:r>
    </w:p>
    <w:p w:rsidR="000B172F" w:rsidRDefault="000B172F" w:rsidP="000B172F">
      <w:pPr>
        <w:pStyle w:val="Pper"/>
        <w:tabs>
          <w:tab w:val="clear" w:pos="4763"/>
          <w:tab w:val="left" w:pos="709"/>
        </w:tabs>
        <w:spacing w:line="360" w:lineRule="auto"/>
      </w:pPr>
    </w:p>
    <w:p w:rsidR="000B172F" w:rsidRPr="00770394" w:rsidRDefault="000B172F" w:rsidP="000B172F">
      <w:pPr>
        <w:pStyle w:val="Pper"/>
        <w:tabs>
          <w:tab w:val="clear" w:pos="4763"/>
          <w:tab w:val="left" w:pos="709"/>
        </w:tabs>
        <w:spacing w:line="360" w:lineRule="auto"/>
        <w:ind w:left="705" w:hanging="705"/>
        <w:rPr>
          <w:b/>
          <w:bCs/>
        </w:rPr>
      </w:pPr>
      <w:r w:rsidRPr="00770394">
        <w:t>3.3</w:t>
      </w:r>
      <w:r>
        <w:rPr>
          <w:sz w:val="22"/>
          <w:szCs w:val="22"/>
        </w:rPr>
        <w:tab/>
      </w:r>
      <w:r w:rsidRPr="00770394">
        <w:rPr>
          <w:sz w:val="22"/>
          <w:szCs w:val="22"/>
        </w:rPr>
        <w:t>“</w:t>
      </w:r>
      <w:r w:rsidRPr="00770394">
        <w:t xml:space="preserve">Amplified </w:t>
      </w:r>
      <w:r>
        <w:t>S</w:t>
      </w:r>
      <w:r w:rsidRPr="00770394">
        <w:t xml:space="preserve">urface </w:t>
      </w:r>
      <w:r>
        <w:t>P</w:t>
      </w:r>
      <w:r w:rsidRPr="00770394">
        <w:t xml:space="preserve">lasmon </w:t>
      </w:r>
      <w:r>
        <w:t>R</w:t>
      </w:r>
      <w:r w:rsidRPr="00770394">
        <w:t xml:space="preserve">esonance (SPR) and </w:t>
      </w:r>
      <w:r>
        <w:t>E</w:t>
      </w:r>
      <w:r w:rsidRPr="00770394">
        <w:t xml:space="preserve">lectrochemical </w:t>
      </w:r>
      <w:r>
        <w:t>D</w:t>
      </w:r>
      <w:r w:rsidRPr="00770394">
        <w:t>etection of Pb</w:t>
      </w:r>
      <w:r w:rsidRPr="00770394">
        <w:rPr>
          <w:vertAlign w:val="superscript"/>
        </w:rPr>
        <w:t>2+</w:t>
      </w:r>
      <w:r w:rsidRPr="00770394">
        <w:t xml:space="preserve"> </w:t>
      </w:r>
      <w:r>
        <w:t>I</w:t>
      </w:r>
      <w:r w:rsidRPr="00770394">
        <w:t xml:space="preserve">ons </w:t>
      </w:r>
      <w:r>
        <w:t>U</w:t>
      </w:r>
      <w:r w:rsidRPr="00770394">
        <w:t>sing the Pb</w:t>
      </w:r>
      <w:r w:rsidRPr="00770394">
        <w:rPr>
          <w:vertAlign w:val="superscript"/>
        </w:rPr>
        <w:t>2+</w:t>
      </w:r>
      <w:r w:rsidRPr="00770394">
        <w:t>-</w:t>
      </w:r>
      <w:r>
        <w:t>D</w:t>
      </w:r>
      <w:r w:rsidRPr="00770394">
        <w:t xml:space="preserve">ependent DNAzyme and </w:t>
      </w:r>
      <w:r>
        <w:t>H</w:t>
      </w:r>
      <w:r w:rsidRPr="00770394">
        <w:t>emin/G-quadruplex as a</w:t>
      </w:r>
      <w:r>
        <w:t xml:space="preserve"> L</w:t>
      </w:r>
      <w:r w:rsidRPr="00770394">
        <w:t>abel”</w:t>
      </w:r>
    </w:p>
    <w:p w:rsidR="000B172F" w:rsidRPr="00770394" w:rsidRDefault="000B172F" w:rsidP="000B172F">
      <w:pPr>
        <w:pStyle w:val="Pper"/>
        <w:spacing w:line="360" w:lineRule="auto"/>
        <w:rPr>
          <w:b/>
          <w:bCs/>
        </w:rPr>
      </w:pPr>
    </w:p>
    <w:p w:rsidR="000B172F" w:rsidRPr="00185DC7" w:rsidRDefault="000B172F" w:rsidP="000B172F">
      <w:pPr>
        <w:pStyle w:val="Pper"/>
        <w:tabs>
          <w:tab w:val="clear" w:pos="4763"/>
          <w:tab w:val="left" w:pos="709"/>
        </w:tabs>
        <w:spacing w:line="360" w:lineRule="auto"/>
        <w:rPr>
          <w:sz w:val="20"/>
          <w:szCs w:val="20"/>
          <w:vertAlign w:val="superscript"/>
        </w:rPr>
      </w:pPr>
      <w:r>
        <w:rPr>
          <w:sz w:val="20"/>
          <w:szCs w:val="20"/>
        </w:rPr>
        <w:tab/>
      </w:r>
      <w:r>
        <w:rPr>
          <w:sz w:val="20"/>
          <w:szCs w:val="20"/>
        </w:rPr>
        <w:tab/>
      </w:r>
      <w:proofErr w:type="gramStart"/>
      <w:r>
        <w:rPr>
          <w:sz w:val="20"/>
          <w:szCs w:val="20"/>
        </w:rPr>
        <w:t>Pelossof, G.; Tel-Vered, R.;</w:t>
      </w:r>
      <w:r w:rsidRPr="00185DC7">
        <w:rPr>
          <w:sz w:val="20"/>
          <w:szCs w:val="20"/>
        </w:rPr>
        <w:t xml:space="preserve"> Willner</w:t>
      </w:r>
      <w:r>
        <w:rPr>
          <w:sz w:val="20"/>
          <w:szCs w:val="20"/>
        </w:rPr>
        <w:t>,</w:t>
      </w:r>
      <w:r w:rsidRPr="00185DC7">
        <w:rPr>
          <w:sz w:val="20"/>
          <w:szCs w:val="20"/>
        </w:rPr>
        <w:t xml:space="preserve"> I.</w:t>
      </w:r>
      <w:proofErr w:type="gramEnd"/>
      <w:r>
        <w:rPr>
          <w:sz w:val="20"/>
          <w:szCs w:val="20"/>
        </w:rPr>
        <w:t xml:space="preserve"> </w:t>
      </w:r>
      <w:r w:rsidRPr="00185DC7">
        <w:rPr>
          <w:sz w:val="20"/>
          <w:szCs w:val="20"/>
        </w:rPr>
        <w:t xml:space="preserve"> </w:t>
      </w:r>
      <w:proofErr w:type="gramStart"/>
      <w:r w:rsidRPr="004C4BEA">
        <w:rPr>
          <w:i/>
          <w:iCs/>
          <w:sz w:val="20"/>
          <w:szCs w:val="20"/>
        </w:rPr>
        <w:t>Anal.</w:t>
      </w:r>
      <w:proofErr w:type="gramEnd"/>
      <w:r w:rsidRPr="004C4BEA">
        <w:rPr>
          <w:i/>
          <w:iCs/>
          <w:sz w:val="20"/>
          <w:szCs w:val="20"/>
        </w:rPr>
        <w:t xml:space="preserve"> Chem.</w:t>
      </w:r>
      <w:r w:rsidRPr="00185DC7">
        <w:rPr>
          <w:sz w:val="20"/>
          <w:szCs w:val="20"/>
        </w:rPr>
        <w:t xml:space="preserve"> </w:t>
      </w:r>
      <w:r w:rsidRPr="00185DC7">
        <w:rPr>
          <w:b/>
          <w:bCs/>
          <w:sz w:val="20"/>
          <w:szCs w:val="20"/>
        </w:rPr>
        <w:t>2012</w:t>
      </w:r>
      <w:r w:rsidRPr="00185DC7">
        <w:rPr>
          <w:sz w:val="20"/>
          <w:szCs w:val="20"/>
        </w:rPr>
        <w:t xml:space="preserve">, </w:t>
      </w:r>
      <w:r w:rsidRPr="003672A5">
        <w:rPr>
          <w:i/>
          <w:iCs/>
          <w:sz w:val="20"/>
          <w:szCs w:val="20"/>
        </w:rPr>
        <w:t>84</w:t>
      </w:r>
      <w:r w:rsidRPr="00185DC7">
        <w:rPr>
          <w:sz w:val="20"/>
          <w:szCs w:val="20"/>
        </w:rPr>
        <w:t>, 3703.</w:t>
      </w:r>
      <w:r>
        <w:rPr>
          <w:sz w:val="20"/>
          <w:szCs w:val="20"/>
          <w:vertAlign w:val="superscript"/>
        </w:rPr>
        <w:t>175</w:t>
      </w:r>
      <w:r w:rsidRPr="00A13084">
        <w:rPr>
          <w:rFonts w:asciiTheme="majorBidi" w:hAnsiTheme="majorBidi" w:cstheme="majorBidi"/>
          <w:color w:val="FFFFFF" w:themeColor="background1"/>
          <w:vertAlign w:val="superscript"/>
        </w:rPr>
        <w:t>*</w:t>
      </w:r>
    </w:p>
    <w:p w:rsidR="000B172F" w:rsidRDefault="000B172F" w:rsidP="000B172F">
      <w:pPr>
        <w:pStyle w:val="Pper"/>
        <w:spacing w:line="360" w:lineRule="auto"/>
      </w:pPr>
    </w:p>
    <w:p w:rsidR="000B172F" w:rsidRDefault="000B172F" w:rsidP="000B172F">
      <w:pPr>
        <w:pStyle w:val="Pper"/>
        <w:tabs>
          <w:tab w:val="clear" w:pos="4763"/>
          <w:tab w:val="left" w:pos="709"/>
        </w:tabs>
        <w:spacing w:line="360" w:lineRule="auto"/>
      </w:pPr>
      <w:r>
        <w:t>3.4</w:t>
      </w:r>
      <w:r>
        <w:tab/>
      </w:r>
      <w:r w:rsidRPr="00910D36">
        <w:t xml:space="preserve">“Controlling </w:t>
      </w:r>
      <w:r>
        <w:t>I</w:t>
      </w:r>
      <w:r w:rsidRPr="00910D36">
        <w:t xml:space="preserve">nterfacial </w:t>
      </w:r>
      <w:r>
        <w:t>E</w:t>
      </w:r>
      <w:r w:rsidRPr="00910D36">
        <w:t xml:space="preserve">lectron </w:t>
      </w:r>
      <w:r>
        <w:t>T</w:t>
      </w:r>
      <w:r w:rsidRPr="00910D36">
        <w:t xml:space="preserve">ransfer and </w:t>
      </w:r>
      <w:r>
        <w:t>E</w:t>
      </w:r>
      <w:r w:rsidRPr="00910D36">
        <w:t xml:space="preserve">lectrocatalysis by pH- or </w:t>
      </w:r>
      <w:r>
        <w:t>I</w:t>
      </w:r>
      <w:r w:rsidRPr="00910D36">
        <w:t>on-</w:t>
      </w:r>
    </w:p>
    <w:p w:rsidR="000B172F" w:rsidRPr="00910D36" w:rsidRDefault="000B172F" w:rsidP="000B172F">
      <w:pPr>
        <w:pStyle w:val="Pper"/>
        <w:tabs>
          <w:tab w:val="clear" w:pos="4763"/>
          <w:tab w:val="left" w:pos="709"/>
        </w:tabs>
        <w:spacing w:line="360" w:lineRule="auto"/>
        <w:rPr>
          <w:sz w:val="20"/>
          <w:szCs w:val="20"/>
        </w:rPr>
      </w:pPr>
      <w:r>
        <w:tab/>
      </w:r>
      <w:r>
        <w:tab/>
        <w:t>S</w:t>
      </w:r>
      <w:r w:rsidRPr="00910D36">
        <w:t xml:space="preserve">witchable DNA </w:t>
      </w:r>
      <w:r>
        <w:t>M</w:t>
      </w:r>
      <w:r w:rsidRPr="00910D36">
        <w:t>onolayer-</w:t>
      </w:r>
      <w:r>
        <w:t>M</w:t>
      </w:r>
      <w:r w:rsidRPr="00910D36">
        <w:t xml:space="preserve">odified </w:t>
      </w:r>
      <w:r>
        <w:t>E</w:t>
      </w:r>
      <w:r w:rsidRPr="00910D36">
        <w:t>lectrodes”</w:t>
      </w:r>
    </w:p>
    <w:p w:rsidR="000B172F" w:rsidRPr="00770394" w:rsidRDefault="000B172F" w:rsidP="000B172F">
      <w:pPr>
        <w:pStyle w:val="Pper"/>
        <w:spacing w:line="360" w:lineRule="auto"/>
        <w:rPr>
          <w:sz w:val="20"/>
          <w:szCs w:val="20"/>
        </w:rPr>
      </w:pPr>
    </w:p>
    <w:p w:rsidR="000B172F" w:rsidRPr="009A5CD7" w:rsidRDefault="000B172F" w:rsidP="000B172F">
      <w:pPr>
        <w:pStyle w:val="Pper"/>
        <w:tabs>
          <w:tab w:val="clear" w:pos="4763"/>
          <w:tab w:val="left" w:pos="709"/>
        </w:tabs>
        <w:spacing w:line="360" w:lineRule="auto"/>
        <w:rPr>
          <w:sz w:val="20"/>
          <w:szCs w:val="20"/>
          <w:vertAlign w:val="superscript"/>
        </w:rPr>
      </w:pPr>
      <w:r>
        <w:rPr>
          <w:sz w:val="20"/>
          <w:szCs w:val="20"/>
        </w:rPr>
        <w:tab/>
      </w:r>
      <w:r>
        <w:rPr>
          <w:sz w:val="20"/>
          <w:szCs w:val="20"/>
        </w:rPr>
        <w:tab/>
        <w:t>Pelossof, G.;</w:t>
      </w:r>
      <w:r w:rsidRPr="004B725B">
        <w:rPr>
          <w:sz w:val="20"/>
          <w:szCs w:val="20"/>
        </w:rPr>
        <w:t xml:space="preserve"> Tel-Vered</w:t>
      </w:r>
      <w:r>
        <w:rPr>
          <w:sz w:val="20"/>
          <w:szCs w:val="20"/>
        </w:rPr>
        <w:t>,</w:t>
      </w:r>
      <w:r w:rsidRPr="004B725B">
        <w:rPr>
          <w:sz w:val="20"/>
          <w:szCs w:val="20"/>
        </w:rPr>
        <w:t xml:space="preserve"> R.</w:t>
      </w:r>
      <w:r>
        <w:rPr>
          <w:sz w:val="20"/>
          <w:szCs w:val="20"/>
        </w:rPr>
        <w:t>;</w:t>
      </w:r>
      <w:r w:rsidRPr="004B725B">
        <w:rPr>
          <w:sz w:val="20"/>
          <w:szCs w:val="20"/>
        </w:rPr>
        <w:t xml:space="preserve"> Shimron</w:t>
      </w:r>
      <w:r>
        <w:rPr>
          <w:sz w:val="20"/>
          <w:szCs w:val="20"/>
        </w:rPr>
        <w:t>,</w:t>
      </w:r>
      <w:r w:rsidRPr="004B725B">
        <w:rPr>
          <w:sz w:val="20"/>
          <w:szCs w:val="20"/>
        </w:rPr>
        <w:t xml:space="preserve"> S.</w:t>
      </w:r>
      <w:r>
        <w:rPr>
          <w:sz w:val="20"/>
          <w:szCs w:val="20"/>
        </w:rPr>
        <w:t>;</w:t>
      </w:r>
      <w:r w:rsidRPr="004B725B">
        <w:rPr>
          <w:sz w:val="20"/>
          <w:szCs w:val="20"/>
        </w:rPr>
        <w:t xml:space="preserve"> Willner</w:t>
      </w:r>
      <w:r>
        <w:rPr>
          <w:sz w:val="20"/>
          <w:szCs w:val="20"/>
        </w:rPr>
        <w:t>,</w:t>
      </w:r>
      <w:r w:rsidRPr="004B725B">
        <w:rPr>
          <w:sz w:val="20"/>
          <w:szCs w:val="20"/>
        </w:rPr>
        <w:t xml:space="preserve"> I. </w:t>
      </w:r>
      <w:r w:rsidRPr="006C198D">
        <w:rPr>
          <w:i/>
          <w:iCs/>
          <w:sz w:val="20"/>
          <w:szCs w:val="20"/>
        </w:rPr>
        <w:t>Chem. Sci.</w:t>
      </w:r>
      <w:r>
        <w:rPr>
          <w:sz w:val="20"/>
          <w:szCs w:val="20"/>
        </w:rPr>
        <w:t xml:space="preserve"> </w:t>
      </w:r>
      <w:r w:rsidRPr="004B725B">
        <w:rPr>
          <w:b/>
          <w:bCs/>
          <w:sz w:val="20"/>
          <w:szCs w:val="20"/>
        </w:rPr>
        <w:t>2013</w:t>
      </w:r>
      <w:r w:rsidRPr="004B725B">
        <w:rPr>
          <w:sz w:val="20"/>
          <w:szCs w:val="20"/>
        </w:rPr>
        <w:t xml:space="preserve">, </w:t>
      </w:r>
      <w:r w:rsidRPr="003672A5">
        <w:rPr>
          <w:i/>
          <w:iCs/>
          <w:sz w:val="20"/>
          <w:szCs w:val="20"/>
        </w:rPr>
        <w:t>4</w:t>
      </w:r>
      <w:r w:rsidRPr="004B725B">
        <w:rPr>
          <w:sz w:val="20"/>
          <w:szCs w:val="20"/>
        </w:rPr>
        <w:t>, 1137.</w:t>
      </w:r>
      <w:r>
        <w:rPr>
          <w:sz w:val="20"/>
          <w:szCs w:val="20"/>
          <w:vertAlign w:val="superscript"/>
        </w:rPr>
        <w:t>176</w:t>
      </w:r>
      <w:r w:rsidRPr="00A13084">
        <w:rPr>
          <w:rFonts w:asciiTheme="majorBidi" w:hAnsiTheme="majorBidi" w:cstheme="majorBidi"/>
          <w:color w:val="FFFFFF" w:themeColor="background1"/>
          <w:vertAlign w:val="superscript"/>
        </w:rPr>
        <w:t>*</w:t>
      </w:r>
    </w:p>
    <w:p w:rsidR="000B172F" w:rsidRPr="00770394" w:rsidRDefault="000B172F" w:rsidP="000B172F">
      <w:pPr>
        <w:pStyle w:val="Pper"/>
        <w:spacing w:line="360" w:lineRule="auto"/>
      </w:pPr>
    </w:p>
    <w:p w:rsidR="000B172F" w:rsidRPr="006B45EE" w:rsidRDefault="000B172F" w:rsidP="000B172F">
      <w:pPr>
        <w:pStyle w:val="Pper"/>
        <w:tabs>
          <w:tab w:val="clear" w:pos="4763"/>
          <w:tab w:val="left" w:pos="709"/>
        </w:tabs>
        <w:spacing w:line="360" w:lineRule="auto"/>
      </w:pPr>
      <w:r w:rsidRPr="006B45EE">
        <w:t>3.5</w:t>
      </w:r>
      <w:r>
        <w:tab/>
      </w:r>
      <w:r w:rsidRPr="006B45EE">
        <w:t xml:space="preserve">“Switchable </w:t>
      </w:r>
      <w:r>
        <w:t>M</w:t>
      </w:r>
      <w:r w:rsidRPr="006B45EE">
        <w:t>echanical DNA</w:t>
      </w:r>
      <w:r>
        <w:t xml:space="preserve"> </w:t>
      </w:r>
      <w:r w:rsidRPr="006B45EE">
        <w:t>“</w:t>
      </w:r>
      <w:r>
        <w:t>A</w:t>
      </w:r>
      <w:r w:rsidRPr="006B45EE">
        <w:t xml:space="preserve">rms” </w:t>
      </w:r>
      <w:r>
        <w:t>O</w:t>
      </w:r>
      <w:r w:rsidRPr="006B45EE">
        <w:t xml:space="preserve">perating on </w:t>
      </w:r>
      <w:r>
        <w:t>N</w:t>
      </w:r>
      <w:r w:rsidRPr="006B45EE">
        <w:t xml:space="preserve">ucleic </w:t>
      </w:r>
      <w:r>
        <w:t>A</w:t>
      </w:r>
      <w:r w:rsidRPr="006B45EE">
        <w:t xml:space="preserve">cid </w:t>
      </w:r>
      <w:r>
        <w:t>S</w:t>
      </w:r>
      <w:r w:rsidRPr="006B45EE">
        <w:t xml:space="preserve">caffolds </w:t>
      </w:r>
    </w:p>
    <w:p w:rsidR="000B172F" w:rsidRPr="006B45EE" w:rsidRDefault="000B172F" w:rsidP="000B172F">
      <w:pPr>
        <w:pStyle w:val="Pper"/>
        <w:tabs>
          <w:tab w:val="clear" w:pos="4763"/>
          <w:tab w:val="left" w:pos="709"/>
        </w:tabs>
        <w:spacing w:line="360" w:lineRule="auto"/>
      </w:pPr>
      <w:r>
        <w:tab/>
      </w:r>
      <w:r>
        <w:tab/>
        <w:t>A</w:t>
      </w:r>
      <w:r w:rsidRPr="006B45EE">
        <w:t xml:space="preserve">ssociated with </w:t>
      </w:r>
      <w:r>
        <w:t>E</w:t>
      </w:r>
      <w:r w:rsidRPr="006B45EE">
        <w:t xml:space="preserve">lectrodes or </w:t>
      </w:r>
      <w:r>
        <w:t>S</w:t>
      </w:r>
      <w:r w:rsidRPr="006B45EE">
        <w:t xml:space="preserve">emiconductor </w:t>
      </w:r>
      <w:r>
        <w:t>Q</w:t>
      </w:r>
      <w:r w:rsidRPr="006B45EE">
        <w:t xml:space="preserve">uantum </w:t>
      </w:r>
      <w:r>
        <w:t>D</w:t>
      </w:r>
      <w:r w:rsidRPr="006B45EE">
        <w:t>ots”</w:t>
      </w:r>
    </w:p>
    <w:p w:rsidR="000B172F" w:rsidRDefault="000B172F" w:rsidP="000B172F">
      <w:pPr>
        <w:pStyle w:val="Pper"/>
        <w:spacing w:line="360" w:lineRule="auto"/>
      </w:pPr>
      <w:r w:rsidRPr="00770394">
        <w:tab/>
      </w:r>
    </w:p>
    <w:p w:rsidR="000B172F" w:rsidRPr="000F400A" w:rsidRDefault="000B172F" w:rsidP="000B172F">
      <w:pPr>
        <w:pStyle w:val="Pper"/>
        <w:tabs>
          <w:tab w:val="clear" w:pos="4763"/>
          <w:tab w:val="left" w:pos="709"/>
        </w:tabs>
        <w:spacing w:line="360" w:lineRule="auto"/>
        <w:rPr>
          <w:sz w:val="20"/>
          <w:szCs w:val="20"/>
          <w:vertAlign w:val="superscript"/>
        </w:rPr>
      </w:pPr>
      <w:r>
        <w:rPr>
          <w:sz w:val="20"/>
          <w:szCs w:val="20"/>
        </w:rPr>
        <w:tab/>
      </w:r>
      <w:r>
        <w:rPr>
          <w:sz w:val="20"/>
          <w:szCs w:val="20"/>
        </w:rPr>
        <w:tab/>
      </w:r>
      <w:r w:rsidRPr="00E4343B">
        <w:rPr>
          <w:sz w:val="20"/>
          <w:szCs w:val="20"/>
        </w:rPr>
        <w:t>Pelossof</w:t>
      </w:r>
      <w:r>
        <w:rPr>
          <w:sz w:val="20"/>
          <w:szCs w:val="20"/>
        </w:rPr>
        <w:t>,</w:t>
      </w:r>
      <w:r w:rsidRPr="00E4343B">
        <w:rPr>
          <w:sz w:val="20"/>
          <w:szCs w:val="20"/>
        </w:rPr>
        <w:t xml:space="preserve"> G.</w:t>
      </w:r>
      <w:r>
        <w:rPr>
          <w:sz w:val="20"/>
          <w:szCs w:val="20"/>
        </w:rPr>
        <w:t>;</w:t>
      </w:r>
      <w:r w:rsidRPr="00E4343B">
        <w:rPr>
          <w:sz w:val="20"/>
          <w:szCs w:val="20"/>
        </w:rPr>
        <w:t xml:space="preserve"> Tel-Vered</w:t>
      </w:r>
      <w:r>
        <w:rPr>
          <w:sz w:val="20"/>
          <w:szCs w:val="20"/>
        </w:rPr>
        <w:t>,</w:t>
      </w:r>
      <w:r w:rsidRPr="00E4343B">
        <w:rPr>
          <w:sz w:val="20"/>
          <w:szCs w:val="20"/>
        </w:rPr>
        <w:t xml:space="preserve"> R.</w:t>
      </w:r>
      <w:r>
        <w:rPr>
          <w:sz w:val="20"/>
          <w:szCs w:val="20"/>
        </w:rPr>
        <w:t>;</w:t>
      </w:r>
      <w:r w:rsidRPr="00E4343B">
        <w:rPr>
          <w:sz w:val="20"/>
          <w:szCs w:val="20"/>
        </w:rPr>
        <w:t xml:space="preserve"> Liu</w:t>
      </w:r>
      <w:r>
        <w:rPr>
          <w:sz w:val="20"/>
          <w:szCs w:val="20"/>
        </w:rPr>
        <w:t>,</w:t>
      </w:r>
      <w:r w:rsidRPr="00E4343B">
        <w:rPr>
          <w:sz w:val="20"/>
          <w:szCs w:val="20"/>
        </w:rPr>
        <w:t xml:space="preserve"> X.</w:t>
      </w:r>
      <w:r>
        <w:rPr>
          <w:sz w:val="14"/>
          <w:szCs w:val="14"/>
        </w:rPr>
        <w:t>;</w:t>
      </w:r>
      <w:r w:rsidRPr="00E4343B">
        <w:rPr>
          <w:sz w:val="20"/>
          <w:szCs w:val="20"/>
        </w:rPr>
        <w:t xml:space="preserve"> Willner I. </w:t>
      </w:r>
      <w:r w:rsidRPr="006C198D">
        <w:rPr>
          <w:i/>
          <w:iCs/>
          <w:sz w:val="20"/>
          <w:szCs w:val="20"/>
        </w:rPr>
        <w:t>Nanoscale</w:t>
      </w:r>
      <w:r>
        <w:rPr>
          <w:i/>
          <w:iCs/>
          <w:sz w:val="20"/>
          <w:szCs w:val="20"/>
        </w:rPr>
        <w:t xml:space="preserve"> </w:t>
      </w:r>
      <w:r w:rsidRPr="00E4343B">
        <w:rPr>
          <w:b/>
          <w:bCs/>
          <w:sz w:val="20"/>
          <w:szCs w:val="20"/>
        </w:rPr>
        <w:t>2013</w:t>
      </w:r>
      <w:r w:rsidRPr="00E4343B">
        <w:rPr>
          <w:sz w:val="20"/>
          <w:szCs w:val="20"/>
        </w:rPr>
        <w:t xml:space="preserve">, </w:t>
      </w:r>
      <w:r w:rsidRPr="003672A5">
        <w:rPr>
          <w:i/>
          <w:iCs/>
          <w:sz w:val="20"/>
          <w:szCs w:val="20"/>
        </w:rPr>
        <w:t>5</w:t>
      </w:r>
      <w:r w:rsidRPr="00E4343B">
        <w:rPr>
          <w:sz w:val="20"/>
          <w:szCs w:val="20"/>
        </w:rPr>
        <w:t>, 8977.</w:t>
      </w:r>
      <w:r>
        <w:rPr>
          <w:sz w:val="20"/>
          <w:szCs w:val="20"/>
          <w:vertAlign w:val="superscript"/>
        </w:rPr>
        <w:t>177</w:t>
      </w:r>
      <w:r w:rsidRPr="00A13084">
        <w:rPr>
          <w:rFonts w:asciiTheme="majorBidi" w:hAnsiTheme="majorBidi" w:cstheme="majorBidi"/>
          <w:color w:val="FFFFFF" w:themeColor="background1"/>
          <w:vertAlign w:val="superscript"/>
        </w:rPr>
        <w:t>*</w:t>
      </w:r>
    </w:p>
    <w:p w:rsidR="000B172F" w:rsidRPr="00962437" w:rsidRDefault="000B172F" w:rsidP="000B172F">
      <w:pPr>
        <w:bidi w:val="0"/>
        <w:spacing w:after="0" w:line="360" w:lineRule="auto"/>
        <w:jc w:val="both"/>
        <w:rPr>
          <w:rFonts w:ascii="Times New Roman" w:eastAsiaTheme="minorEastAsia" w:hAnsi="Times New Roman"/>
          <w:b/>
          <w:bCs/>
          <w:sz w:val="28"/>
          <w:szCs w:val="28"/>
          <w:lang w:bidi="ar-SA"/>
        </w:rPr>
      </w:pPr>
      <w:r w:rsidRPr="00962437">
        <w:rPr>
          <w:rFonts w:ascii="Times New Roman" w:eastAsiaTheme="minorEastAsia" w:hAnsi="Times New Roman"/>
          <w:b/>
          <w:bCs/>
          <w:sz w:val="28"/>
          <w:szCs w:val="28"/>
          <w:lang w:bidi="ar-SA"/>
        </w:rPr>
        <w:t>Chapter 4 – Discussion related to the research results</w:t>
      </w: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lastRenderedPageBreak/>
        <w:t xml:space="preserve">This chapter summarizes the research results described in the collection of the </w:t>
      </w:r>
      <w:r>
        <w:rPr>
          <w:rFonts w:asciiTheme="majorBidi" w:hAnsiTheme="majorBidi" w:cstheme="majorBidi"/>
          <w:sz w:val="24"/>
          <w:szCs w:val="24"/>
        </w:rPr>
        <w:t xml:space="preserve">papers appearing in the </w:t>
      </w:r>
      <w:r w:rsidRPr="00B73FDB">
        <w:rPr>
          <w:rFonts w:asciiTheme="majorBidi" w:hAnsiTheme="majorBidi" w:cstheme="majorBidi"/>
          <w:sz w:val="24"/>
          <w:szCs w:val="24"/>
        </w:rPr>
        <w:t xml:space="preserve">thesis. </w:t>
      </w:r>
    </w:p>
    <w:p w:rsidR="000B172F" w:rsidRDefault="000B172F" w:rsidP="000B172F">
      <w:pPr>
        <w:bidi w:val="0"/>
        <w:spacing w:after="0" w:line="360" w:lineRule="auto"/>
        <w:jc w:val="both"/>
        <w:rPr>
          <w:rFonts w:asciiTheme="majorBidi" w:hAnsiTheme="majorBidi" w:cstheme="majorBidi"/>
          <w:sz w:val="24"/>
          <w:szCs w:val="24"/>
        </w:rPr>
      </w:pP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The discussion includes:</w:t>
      </w:r>
    </w:p>
    <w:p w:rsidR="000B172F" w:rsidRPr="00B73FDB" w:rsidRDefault="000B172F" w:rsidP="000B172F">
      <w:pPr>
        <w:bidi w:val="0"/>
        <w:spacing w:after="0" w:line="360" w:lineRule="auto"/>
        <w:jc w:val="both"/>
        <w:rPr>
          <w:rFonts w:asciiTheme="majorBidi" w:hAnsiTheme="majorBidi" w:cstheme="majorBidi"/>
          <w:sz w:val="24"/>
          <w:szCs w:val="24"/>
        </w:rPr>
      </w:pPr>
    </w:p>
    <w:p w:rsidR="000B172F" w:rsidRPr="00B73FDB" w:rsidRDefault="000B172F" w:rsidP="000B172F">
      <w:pPr>
        <w:pStyle w:val="a3"/>
        <w:numPr>
          <w:ilvl w:val="0"/>
          <w:numId w:val="1"/>
        </w:numPr>
        <w:bidi w:val="0"/>
        <w:spacing w:line="360" w:lineRule="auto"/>
        <w:jc w:val="both"/>
        <w:rPr>
          <w:rFonts w:asciiTheme="majorBidi" w:hAnsiTheme="majorBidi" w:cstheme="majorBidi"/>
          <w:sz w:val="24"/>
          <w:szCs w:val="24"/>
        </w:rPr>
      </w:pPr>
      <w:r w:rsidRPr="00B73FDB">
        <w:rPr>
          <w:rFonts w:asciiTheme="majorBidi" w:hAnsiTheme="majorBidi" w:cstheme="majorBidi"/>
          <w:sz w:val="24"/>
          <w:szCs w:val="24"/>
        </w:rPr>
        <w:t xml:space="preserve">A short description of the </w:t>
      </w:r>
      <w:r>
        <w:rPr>
          <w:rFonts w:asciiTheme="majorBidi" w:hAnsiTheme="majorBidi" w:cstheme="majorBidi"/>
          <w:sz w:val="24"/>
          <w:szCs w:val="24"/>
        </w:rPr>
        <w:t xml:space="preserve">research </w:t>
      </w:r>
      <w:r w:rsidRPr="00B73FDB">
        <w:rPr>
          <w:rFonts w:asciiTheme="majorBidi" w:hAnsiTheme="majorBidi" w:cstheme="majorBidi"/>
          <w:sz w:val="24"/>
          <w:szCs w:val="24"/>
        </w:rPr>
        <w:t>concepts associated with the specific scientific reports, while addressing the experimental methods associated with the stud</w:t>
      </w:r>
      <w:r>
        <w:rPr>
          <w:rFonts w:asciiTheme="majorBidi" w:hAnsiTheme="majorBidi" w:cstheme="majorBidi"/>
          <w:sz w:val="24"/>
          <w:szCs w:val="24"/>
        </w:rPr>
        <w:t>ies</w:t>
      </w:r>
      <w:r w:rsidRPr="00B73FDB">
        <w:rPr>
          <w:rFonts w:asciiTheme="majorBidi" w:hAnsiTheme="majorBidi" w:cstheme="majorBidi"/>
          <w:sz w:val="24"/>
          <w:szCs w:val="24"/>
        </w:rPr>
        <w:t>.</w:t>
      </w:r>
    </w:p>
    <w:p w:rsidR="000B172F" w:rsidRPr="00B73FDB" w:rsidRDefault="000B172F" w:rsidP="000B172F">
      <w:pPr>
        <w:pStyle w:val="a3"/>
        <w:numPr>
          <w:ilvl w:val="0"/>
          <w:numId w:val="1"/>
        </w:numPr>
        <w:bidi w:val="0"/>
        <w:spacing w:line="360" w:lineRule="auto"/>
        <w:jc w:val="both"/>
        <w:rPr>
          <w:rFonts w:asciiTheme="majorBidi" w:hAnsiTheme="majorBidi" w:cstheme="majorBidi"/>
          <w:sz w:val="24"/>
          <w:szCs w:val="24"/>
        </w:rPr>
      </w:pPr>
      <w:r w:rsidRPr="00B73FDB">
        <w:rPr>
          <w:rFonts w:asciiTheme="majorBidi" w:hAnsiTheme="majorBidi" w:cstheme="majorBidi"/>
          <w:sz w:val="24"/>
          <w:szCs w:val="24"/>
        </w:rPr>
        <w:t>A description of the major accomplishments derived from the research activities.</w:t>
      </w:r>
    </w:p>
    <w:p w:rsidR="000B172F" w:rsidRPr="00B73FDB" w:rsidRDefault="000B172F" w:rsidP="000B172F">
      <w:pPr>
        <w:pStyle w:val="a3"/>
        <w:numPr>
          <w:ilvl w:val="0"/>
          <w:numId w:val="1"/>
        </w:numPr>
        <w:bidi w:val="0"/>
        <w:spacing w:line="360" w:lineRule="auto"/>
        <w:jc w:val="both"/>
        <w:rPr>
          <w:rFonts w:asciiTheme="majorBidi" w:hAnsiTheme="majorBidi" w:cstheme="majorBidi"/>
          <w:sz w:val="24"/>
          <w:szCs w:val="24"/>
        </w:rPr>
      </w:pPr>
      <w:r w:rsidRPr="00B73FDB">
        <w:rPr>
          <w:rFonts w:asciiTheme="majorBidi" w:hAnsiTheme="majorBidi" w:cstheme="majorBidi"/>
          <w:sz w:val="24"/>
          <w:szCs w:val="24"/>
        </w:rPr>
        <w:t>Major conclusions derived from the research results and their implications on future development</w:t>
      </w:r>
      <w:r>
        <w:rPr>
          <w:rFonts w:asciiTheme="majorBidi" w:hAnsiTheme="majorBidi" w:cstheme="majorBidi"/>
          <w:sz w:val="24"/>
          <w:szCs w:val="24"/>
        </w:rPr>
        <w:t xml:space="preserve"> of</w:t>
      </w:r>
      <w:r w:rsidRPr="00B73FDB">
        <w:rPr>
          <w:rFonts w:asciiTheme="majorBidi" w:hAnsiTheme="majorBidi" w:cstheme="majorBidi"/>
          <w:sz w:val="24"/>
          <w:szCs w:val="24"/>
        </w:rPr>
        <w:t xml:space="preserve"> on the relevant research topic</w:t>
      </w:r>
      <w:r>
        <w:rPr>
          <w:rFonts w:asciiTheme="majorBidi" w:hAnsiTheme="majorBidi" w:cstheme="majorBidi"/>
          <w:sz w:val="24"/>
          <w:szCs w:val="24"/>
        </w:rPr>
        <w:t>s</w:t>
      </w:r>
      <w:r w:rsidRPr="00B73FDB">
        <w:rPr>
          <w:rFonts w:asciiTheme="majorBidi" w:hAnsiTheme="majorBidi" w:cstheme="majorBidi"/>
          <w:sz w:val="24"/>
          <w:szCs w:val="24"/>
        </w:rPr>
        <w:t>.</w:t>
      </w:r>
    </w:p>
    <w:p w:rsidR="000B172F" w:rsidRPr="00B73FDB" w:rsidRDefault="000B172F" w:rsidP="000B172F">
      <w:pPr>
        <w:bidi w:val="0"/>
        <w:spacing w:after="0" w:line="360" w:lineRule="auto"/>
        <w:jc w:val="both"/>
        <w:rPr>
          <w:rFonts w:asciiTheme="majorBidi" w:hAnsiTheme="majorBidi" w:cstheme="majorBidi"/>
          <w:sz w:val="24"/>
          <w:szCs w:val="24"/>
        </w:rPr>
      </w:pPr>
    </w:p>
    <w:p w:rsidR="000B172F" w:rsidRPr="00962437" w:rsidRDefault="000B172F" w:rsidP="000B172F">
      <w:pPr>
        <w:bidi w:val="0"/>
        <w:spacing w:after="0" w:line="360" w:lineRule="auto"/>
        <w:jc w:val="both"/>
        <w:rPr>
          <w:rFonts w:ascii="Times New Roman" w:eastAsiaTheme="minorEastAsia" w:hAnsi="Times New Roman"/>
          <w:b/>
          <w:bCs/>
          <w:sz w:val="28"/>
          <w:szCs w:val="28"/>
          <w:lang w:bidi="ar-SA"/>
        </w:rPr>
      </w:pPr>
      <w:r w:rsidRPr="00962437">
        <w:rPr>
          <w:rFonts w:ascii="Times New Roman" w:eastAsiaTheme="minorEastAsia" w:hAnsi="Times New Roman"/>
          <w:b/>
          <w:bCs/>
          <w:sz w:val="28"/>
          <w:szCs w:val="28"/>
          <w:lang w:bidi="ar-SA"/>
        </w:rPr>
        <w:t>Chapter 5 – References.</w:t>
      </w:r>
    </w:p>
    <w:p w:rsidR="000B172F" w:rsidRDefault="000B172F" w:rsidP="000B172F">
      <w:pPr>
        <w:bidi w:val="0"/>
        <w:spacing w:after="0" w:line="360" w:lineRule="auto"/>
        <w:jc w:val="both"/>
        <w:rPr>
          <w:rFonts w:asciiTheme="majorBidi" w:hAnsiTheme="majorBidi" w:cstheme="majorBidi"/>
          <w:sz w:val="24"/>
          <w:szCs w:val="24"/>
        </w:rPr>
      </w:pPr>
      <w:r w:rsidRPr="00B73FDB">
        <w:rPr>
          <w:rFonts w:asciiTheme="majorBidi" w:hAnsiTheme="majorBidi" w:cstheme="majorBidi"/>
          <w:sz w:val="24"/>
          <w:szCs w:val="24"/>
        </w:rPr>
        <w:t>This chapter includes literature references related to the thesis.</w:t>
      </w:r>
    </w:p>
    <w:p w:rsidR="004D2DAE" w:rsidRDefault="004D2DAE" w:rsidP="000B172F">
      <w:pPr>
        <w:rPr>
          <w:rFonts w:hint="cs"/>
        </w:rPr>
      </w:pPr>
      <w:bookmarkStart w:id="0" w:name="_GoBack"/>
      <w:bookmarkEnd w:id="0"/>
    </w:p>
    <w:sectPr w:rsidR="004D2DAE" w:rsidSect="004108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4B3D"/>
    <w:multiLevelType w:val="hybridMultilevel"/>
    <w:tmpl w:val="DF901B1A"/>
    <w:lvl w:ilvl="0" w:tplc="A452833A">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2F"/>
    <w:rsid w:val="000B172F"/>
    <w:rsid w:val="00410852"/>
    <w:rsid w:val="004D2DAE"/>
    <w:rsid w:val="00A77A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72F"/>
    <w:pPr>
      <w:ind w:left="720"/>
      <w:contextualSpacing/>
    </w:pPr>
  </w:style>
  <w:style w:type="paragraph" w:customStyle="1" w:styleId="Pper">
    <w:name w:val="Pper"/>
    <w:basedOn w:val="a"/>
    <w:qFormat/>
    <w:rsid w:val="000B172F"/>
    <w:pPr>
      <w:tabs>
        <w:tab w:val="left" w:pos="227"/>
        <w:tab w:val="left" w:pos="4763"/>
      </w:tabs>
      <w:bidi w:val="0"/>
      <w:spacing w:after="0" w:line="480" w:lineRule="auto"/>
      <w:jc w:val="both"/>
    </w:pPr>
    <w:rPr>
      <w:rFonts w:ascii="Times New Roman" w:eastAsiaTheme="minorEastAsia" w:hAnsi="Times New Roman"/>
      <w:sz w:val="24"/>
      <w:szCs w:val="24"/>
      <w:lang w:bidi="ar-SA"/>
    </w:rPr>
  </w:style>
  <w:style w:type="paragraph" w:styleId="a4">
    <w:name w:val="Balloon Text"/>
    <w:basedOn w:val="a"/>
    <w:link w:val="a5"/>
    <w:uiPriority w:val="99"/>
    <w:semiHidden/>
    <w:unhideWhenUsed/>
    <w:rsid w:val="000B172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1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72F"/>
    <w:pPr>
      <w:ind w:left="720"/>
      <w:contextualSpacing/>
    </w:pPr>
  </w:style>
  <w:style w:type="paragraph" w:customStyle="1" w:styleId="Pper">
    <w:name w:val="Pper"/>
    <w:basedOn w:val="a"/>
    <w:qFormat/>
    <w:rsid w:val="000B172F"/>
    <w:pPr>
      <w:tabs>
        <w:tab w:val="left" w:pos="227"/>
        <w:tab w:val="left" w:pos="4763"/>
      </w:tabs>
      <w:bidi w:val="0"/>
      <w:spacing w:after="0" w:line="480" w:lineRule="auto"/>
      <w:jc w:val="both"/>
    </w:pPr>
    <w:rPr>
      <w:rFonts w:ascii="Times New Roman" w:eastAsiaTheme="minorEastAsia" w:hAnsi="Times New Roman"/>
      <w:sz w:val="24"/>
      <w:szCs w:val="24"/>
      <w:lang w:bidi="ar-SA"/>
    </w:rPr>
  </w:style>
  <w:style w:type="paragraph" w:styleId="a4">
    <w:name w:val="Balloon Text"/>
    <w:basedOn w:val="a"/>
    <w:link w:val="a5"/>
    <w:uiPriority w:val="99"/>
    <w:semiHidden/>
    <w:unhideWhenUsed/>
    <w:rsid w:val="000B172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1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10457</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Manhi</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Pelossof</dc:creator>
  <cp:lastModifiedBy>Gilad Pelossof</cp:lastModifiedBy>
  <cp:revision>1</cp:revision>
  <dcterms:created xsi:type="dcterms:W3CDTF">2014-08-31T22:07:00Z</dcterms:created>
  <dcterms:modified xsi:type="dcterms:W3CDTF">2014-08-31T22:07:00Z</dcterms:modified>
</cp:coreProperties>
</file>